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E8E740" w14:textId="77777777" w:rsidR="00B3629C" w:rsidRPr="000113B8" w:rsidRDefault="00B3629C" w:rsidP="005D73A8">
      <w:pPr>
        <w:pStyle w:val="Textoindependiente"/>
        <w:ind w:left="720" w:hanging="720"/>
        <w:rPr>
          <w:rFonts w:ascii="Garamond" w:hAnsi="Garamond"/>
          <w:color w:val="000000" w:themeColor="text1"/>
        </w:rPr>
      </w:pPr>
    </w:p>
    <w:p w14:paraId="3DFC6A1A" w14:textId="77777777" w:rsidR="00B3629C" w:rsidRPr="000113B8" w:rsidRDefault="00B3629C">
      <w:pPr>
        <w:pStyle w:val="Textoindependiente"/>
        <w:rPr>
          <w:rFonts w:ascii="Garamond" w:hAnsi="Garamond"/>
          <w:color w:val="000000" w:themeColor="text1"/>
        </w:rPr>
      </w:pPr>
    </w:p>
    <w:p w14:paraId="177F37FF" w14:textId="77777777" w:rsidR="00B3629C" w:rsidRPr="000113B8" w:rsidRDefault="00B3629C">
      <w:pPr>
        <w:pStyle w:val="Textoindependiente"/>
        <w:rPr>
          <w:rFonts w:ascii="Garamond" w:hAnsi="Garamond"/>
          <w:color w:val="000000" w:themeColor="text1"/>
        </w:rPr>
      </w:pPr>
    </w:p>
    <w:p w14:paraId="0693EF3B" w14:textId="77777777" w:rsidR="00B3629C" w:rsidRPr="000113B8" w:rsidRDefault="00B3629C">
      <w:pPr>
        <w:pStyle w:val="Textoindependiente"/>
        <w:rPr>
          <w:rFonts w:ascii="Garamond" w:hAnsi="Garamond"/>
          <w:color w:val="000000" w:themeColor="text1"/>
        </w:rPr>
      </w:pPr>
    </w:p>
    <w:p w14:paraId="744D69BF" w14:textId="77777777" w:rsidR="00B3629C" w:rsidRPr="000113B8" w:rsidRDefault="00B3629C">
      <w:pPr>
        <w:pStyle w:val="Textoindependiente"/>
        <w:spacing w:before="57"/>
        <w:rPr>
          <w:rFonts w:ascii="Garamond" w:hAnsi="Garamond"/>
          <w:color w:val="000000" w:themeColor="text1"/>
        </w:rPr>
      </w:pPr>
    </w:p>
    <w:p w14:paraId="7234A88A" w14:textId="77777777" w:rsidR="00B3629C" w:rsidRPr="000113B8" w:rsidRDefault="00B3629C">
      <w:pPr>
        <w:pStyle w:val="Textoindependiente"/>
        <w:rPr>
          <w:rFonts w:ascii="Garamond" w:hAnsi="Garamond"/>
          <w:b/>
          <w:color w:val="000000" w:themeColor="text1"/>
        </w:rPr>
      </w:pPr>
    </w:p>
    <w:p w14:paraId="69329930" w14:textId="77777777" w:rsidR="00B3629C" w:rsidRPr="000113B8" w:rsidRDefault="00B3629C">
      <w:pPr>
        <w:pStyle w:val="Textoindependiente"/>
        <w:rPr>
          <w:rFonts w:ascii="Garamond" w:hAnsi="Garamond"/>
          <w:b/>
          <w:color w:val="000000" w:themeColor="text1"/>
        </w:rPr>
      </w:pPr>
    </w:p>
    <w:p w14:paraId="552BA55F" w14:textId="77777777" w:rsidR="00B3629C" w:rsidRPr="000113B8" w:rsidRDefault="00B3629C">
      <w:pPr>
        <w:pStyle w:val="Textoindependiente"/>
        <w:rPr>
          <w:rFonts w:ascii="Garamond" w:hAnsi="Garamond"/>
          <w:b/>
          <w:color w:val="000000" w:themeColor="text1"/>
        </w:rPr>
      </w:pPr>
    </w:p>
    <w:p w14:paraId="06740CAD" w14:textId="77777777" w:rsidR="00B3629C" w:rsidRPr="000113B8" w:rsidRDefault="00B3629C">
      <w:pPr>
        <w:pStyle w:val="Textoindependiente"/>
        <w:rPr>
          <w:rFonts w:ascii="Garamond" w:hAnsi="Garamond"/>
          <w:b/>
          <w:color w:val="000000" w:themeColor="text1"/>
        </w:rPr>
      </w:pPr>
    </w:p>
    <w:p w14:paraId="2D16F030" w14:textId="77777777" w:rsidR="00B3629C" w:rsidRPr="000113B8" w:rsidRDefault="00B3629C">
      <w:pPr>
        <w:pStyle w:val="Textoindependiente"/>
        <w:rPr>
          <w:rFonts w:ascii="Garamond" w:hAnsi="Garamond"/>
          <w:b/>
          <w:color w:val="000000" w:themeColor="text1"/>
        </w:rPr>
      </w:pPr>
    </w:p>
    <w:p w14:paraId="640922C6" w14:textId="77777777" w:rsidR="00B3629C" w:rsidRPr="000113B8" w:rsidRDefault="00B3629C">
      <w:pPr>
        <w:pStyle w:val="Textoindependiente"/>
        <w:rPr>
          <w:rFonts w:ascii="Garamond" w:hAnsi="Garamond"/>
          <w:b/>
          <w:color w:val="000000" w:themeColor="text1"/>
        </w:rPr>
      </w:pPr>
    </w:p>
    <w:p w14:paraId="4D87EEC1" w14:textId="77777777" w:rsidR="00B3629C" w:rsidRPr="000113B8" w:rsidRDefault="00B3629C">
      <w:pPr>
        <w:pStyle w:val="Textoindependiente"/>
        <w:rPr>
          <w:rFonts w:ascii="Garamond" w:hAnsi="Garamond"/>
          <w:b/>
          <w:color w:val="000000" w:themeColor="text1"/>
        </w:rPr>
      </w:pPr>
    </w:p>
    <w:p w14:paraId="72DF405F" w14:textId="77777777" w:rsidR="00B3629C" w:rsidRPr="000113B8" w:rsidRDefault="00B3629C">
      <w:pPr>
        <w:pStyle w:val="Textoindependiente"/>
        <w:spacing w:before="198"/>
        <w:rPr>
          <w:rFonts w:ascii="Garamond" w:hAnsi="Garamond"/>
          <w:b/>
          <w:color w:val="000000" w:themeColor="text1"/>
        </w:rPr>
      </w:pPr>
    </w:p>
    <w:p w14:paraId="79B569AE" w14:textId="77777777" w:rsidR="00B3629C" w:rsidRPr="000113B8" w:rsidRDefault="00204EB4">
      <w:pPr>
        <w:ind w:left="333" w:right="326"/>
        <w:jc w:val="center"/>
        <w:rPr>
          <w:rFonts w:ascii="Garamond" w:hAnsi="Garamond"/>
          <w:b/>
          <w:color w:val="000000" w:themeColor="text1"/>
        </w:rPr>
      </w:pPr>
      <w:r w:rsidRPr="000113B8">
        <w:rPr>
          <w:rFonts w:ascii="Garamond" w:hAnsi="Garamond"/>
          <w:b/>
          <w:color w:val="000000" w:themeColor="text1"/>
        </w:rPr>
        <w:t>ESTUDIO DEL</w:t>
      </w:r>
      <w:r w:rsidRPr="000113B8">
        <w:rPr>
          <w:rFonts w:ascii="Garamond" w:hAnsi="Garamond"/>
          <w:b/>
          <w:color w:val="000000" w:themeColor="text1"/>
          <w:spacing w:val="4"/>
        </w:rPr>
        <w:t xml:space="preserve"> </w:t>
      </w:r>
      <w:r w:rsidRPr="000113B8">
        <w:rPr>
          <w:rFonts w:ascii="Garamond" w:hAnsi="Garamond"/>
          <w:b/>
          <w:color w:val="000000" w:themeColor="text1"/>
          <w:spacing w:val="-2"/>
        </w:rPr>
        <w:t>SECTOR</w:t>
      </w:r>
    </w:p>
    <w:p w14:paraId="3FA42B14" w14:textId="77777777" w:rsidR="00B3629C" w:rsidRPr="000113B8" w:rsidRDefault="00B3629C">
      <w:pPr>
        <w:pStyle w:val="Textoindependiente"/>
        <w:rPr>
          <w:rFonts w:ascii="Garamond" w:hAnsi="Garamond"/>
          <w:b/>
          <w:color w:val="000000" w:themeColor="text1"/>
        </w:rPr>
      </w:pPr>
    </w:p>
    <w:p w14:paraId="18156347" w14:textId="77777777" w:rsidR="00B3629C" w:rsidRPr="000113B8" w:rsidRDefault="00B3629C">
      <w:pPr>
        <w:pStyle w:val="Textoindependiente"/>
        <w:rPr>
          <w:rFonts w:ascii="Garamond" w:hAnsi="Garamond"/>
          <w:b/>
          <w:color w:val="000000" w:themeColor="text1"/>
        </w:rPr>
      </w:pPr>
    </w:p>
    <w:p w14:paraId="078E5970" w14:textId="77777777" w:rsidR="00B3629C" w:rsidRPr="000113B8" w:rsidRDefault="00B3629C">
      <w:pPr>
        <w:pStyle w:val="Textoindependiente"/>
        <w:rPr>
          <w:rFonts w:ascii="Garamond" w:hAnsi="Garamond"/>
          <w:b/>
          <w:color w:val="000000" w:themeColor="text1"/>
        </w:rPr>
      </w:pPr>
    </w:p>
    <w:p w14:paraId="7B09CB77" w14:textId="77777777" w:rsidR="00B3629C" w:rsidRPr="000113B8" w:rsidRDefault="00B3629C">
      <w:pPr>
        <w:pStyle w:val="Textoindependiente"/>
        <w:rPr>
          <w:rFonts w:ascii="Garamond" w:hAnsi="Garamond"/>
          <w:b/>
          <w:color w:val="000000" w:themeColor="text1"/>
        </w:rPr>
      </w:pPr>
    </w:p>
    <w:p w14:paraId="41CF93C2" w14:textId="77777777" w:rsidR="00B3629C" w:rsidRPr="000113B8" w:rsidRDefault="00B3629C">
      <w:pPr>
        <w:pStyle w:val="Textoindependiente"/>
        <w:rPr>
          <w:rFonts w:ascii="Garamond" w:hAnsi="Garamond"/>
          <w:b/>
          <w:color w:val="000000" w:themeColor="text1"/>
        </w:rPr>
      </w:pPr>
    </w:p>
    <w:p w14:paraId="5364594F" w14:textId="77777777" w:rsidR="00B3629C" w:rsidRPr="000113B8" w:rsidRDefault="00B3629C">
      <w:pPr>
        <w:pStyle w:val="Textoindependiente"/>
        <w:rPr>
          <w:rFonts w:ascii="Garamond" w:hAnsi="Garamond"/>
          <w:b/>
          <w:color w:val="000000" w:themeColor="text1"/>
        </w:rPr>
      </w:pPr>
    </w:p>
    <w:p w14:paraId="4BC311C0" w14:textId="77777777" w:rsidR="00B3629C" w:rsidRPr="000113B8" w:rsidRDefault="00B3629C">
      <w:pPr>
        <w:pStyle w:val="Textoindependiente"/>
        <w:rPr>
          <w:rFonts w:ascii="Garamond" w:hAnsi="Garamond"/>
          <w:b/>
          <w:color w:val="000000" w:themeColor="text1"/>
        </w:rPr>
      </w:pPr>
    </w:p>
    <w:p w14:paraId="158CDBBA" w14:textId="77777777" w:rsidR="00B3629C" w:rsidRPr="000113B8" w:rsidRDefault="00B3629C">
      <w:pPr>
        <w:pStyle w:val="Textoindependiente"/>
        <w:rPr>
          <w:rFonts w:ascii="Garamond" w:hAnsi="Garamond"/>
          <w:b/>
          <w:color w:val="000000" w:themeColor="text1"/>
        </w:rPr>
      </w:pPr>
    </w:p>
    <w:p w14:paraId="57D63467" w14:textId="77777777" w:rsidR="00B3629C" w:rsidRPr="000113B8" w:rsidRDefault="00B3629C">
      <w:pPr>
        <w:pStyle w:val="Textoindependiente"/>
        <w:rPr>
          <w:rFonts w:ascii="Garamond" w:hAnsi="Garamond"/>
          <w:b/>
          <w:color w:val="000000" w:themeColor="text1"/>
        </w:rPr>
      </w:pPr>
    </w:p>
    <w:p w14:paraId="4FA53859" w14:textId="77777777" w:rsidR="00B3629C" w:rsidRPr="000113B8" w:rsidRDefault="00B3629C">
      <w:pPr>
        <w:pStyle w:val="Textoindependiente"/>
        <w:rPr>
          <w:rFonts w:ascii="Garamond" w:hAnsi="Garamond"/>
          <w:b/>
          <w:color w:val="000000" w:themeColor="text1"/>
        </w:rPr>
      </w:pPr>
    </w:p>
    <w:p w14:paraId="106F7B83" w14:textId="77777777" w:rsidR="00B3629C" w:rsidRPr="000113B8" w:rsidRDefault="00B3629C">
      <w:pPr>
        <w:pStyle w:val="Textoindependiente"/>
        <w:spacing w:before="182"/>
        <w:rPr>
          <w:rFonts w:ascii="Garamond" w:hAnsi="Garamond"/>
          <w:b/>
          <w:color w:val="000000" w:themeColor="text1"/>
        </w:rPr>
      </w:pPr>
    </w:p>
    <w:p w14:paraId="7872EC63" w14:textId="6E26BAAD" w:rsidR="005E6F63" w:rsidRPr="000113B8" w:rsidRDefault="005E6F63" w:rsidP="005E6F63">
      <w:pPr>
        <w:pStyle w:val="Standard"/>
        <w:jc w:val="center"/>
        <w:rPr>
          <w:rFonts w:ascii="Garamond" w:hAnsi="Garamond" w:cs="Arial"/>
          <w:b/>
          <w:bCs/>
          <w:color w:val="000000" w:themeColor="text1"/>
          <w:sz w:val="22"/>
          <w:szCs w:val="22"/>
        </w:rPr>
      </w:pPr>
      <w:r w:rsidRPr="000113B8">
        <w:rPr>
          <w:rFonts w:ascii="Garamond" w:hAnsi="Garamond" w:cs="Arial"/>
          <w:color w:val="000000" w:themeColor="text1"/>
          <w:sz w:val="22"/>
          <w:szCs w:val="22"/>
        </w:rPr>
        <w:t>“</w:t>
      </w:r>
      <w:r w:rsidRPr="000113B8">
        <w:rPr>
          <w:rFonts w:ascii="Garamond" w:hAnsi="Garamond" w:cs="Arial"/>
          <w:b/>
          <w:bCs/>
          <w:color w:val="000000" w:themeColor="text1"/>
          <w:sz w:val="22"/>
          <w:szCs w:val="22"/>
        </w:rPr>
        <w:t>CONTRATAR LA PÓLIZA DE VIDA PARA LOS EDILES DE LA JUNTA ADMINISTRADORA LOCAL DEL FONDO DE DESARROLLO RURAL DE SUMAPAZ”.</w:t>
      </w:r>
    </w:p>
    <w:p w14:paraId="6BE377A4" w14:textId="77777777" w:rsidR="005E6F63" w:rsidRPr="000113B8" w:rsidRDefault="005E6F63" w:rsidP="005E6F63">
      <w:pPr>
        <w:pStyle w:val="Standard"/>
        <w:jc w:val="both"/>
        <w:rPr>
          <w:rFonts w:ascii="Garamond" w:hAnsi="Garamond" w:cs="Arial"/>
          <w:color w:val="000000" w:themeColor="text1"/>
          <w:sz w:val="22"/>
          <w:szCs w:val="22"/>
        </w:rPr>
      </w:pPr>
    </w:p>
    <w:p w14:paraId="73843A70" w14:textId="77777777" w:rsidR="00B3629C" w:rsidRPr="000113B8" w:rsidRDefault="00B3629C">
      <w:pPr>
        <w:pStyle w:val="Textoindependiente"/>
        <w:rPr>
          <w:rFonts w:ascii="Garamond" w:hAnsi="Garamond"/>
          <w:b/>
          <w:color w:val="000000" w:themeColor="text1"/>
        </w:rPr>
      </w:pPr>
    </w:p>
    <w:p w14:paraId="32C2C503" w14:textId="77777777" w:rsidR="00B3629C" w:rsidRPr="000113B8" w:rsidRDefault="00B3629C">
      <w:pPr>
        <w:pStyle w:val="Textoindependiente"/>
        <w:rPr>
          <w:rFonts w:ascii="Garamond" w:hAnsi="Garamond"/>
          <w:b/>
          <w:color w:val="000000" w:themeColor="text1"/>
        </w:rPr>
      </w:pPr>
    </w:p>
    <w:p w14:paraId="750CD456" w14:textId="77777777" w:rsidR="00B3629C" w:rsidRPr="000113B8" w:rsidRDefault="00B3629C">
      <w:pPr>
        <w:pStyle w:val="Textoindependiente"/>
        <w:rPr>
          <w:rFonts w:ascii="Garamond" w:hAnsi="Garamond"/>
          <w:b/>
          <w:color w:val="000000" w:themeColor="text1"/>
        </w:rPr>
      </w:pPr>
    </w:p>
    <w:p w14:paraId="083AD5B1" w14:textId="77777777" w:rsidR="00B3629C" w:rsidRPr="000113B8" w:rsidRDefault="00B3629C">
      <w:pPr>
        <w:pStyle w:val="Textoindependiente"/>
        <w:rPr>
          <w:rFonts w:ascii="Garamond" w:hAnsi="Garamond"/>
          <w:b/>
          <w:color w:val="000000" w:themeColor="text1"/>
        </w:rPr>
      </w:pPr>
    </w:p>
    <w:p w14:paraId="542490E3" w14:textId="77777777" w:rsidR="00B3629C" w:rsidRPr="000113B8" w:rsidRDefault="00B3629C">
      <w:pPr>
        <w:pStyle w:val="Textoindependiente"/>
        <w:rPr>
          <w:rFonts w:ascii="Garamond" w:hAnsi="Garamond"/>
          <w:b/>
          <w:color w:val="000000" w:themeColor="text1"/>
        </w:rPr>
      </w:pPr>
    </w:p>
    <w:p w14:paraId="19D7270A" w14:textId="77777777" w:rsidR="00B3629C" w:rsidRPr="000113B8" w:rsidRDefault="00B3629C">
      <w:pPr>
        <w:pStyle w:val="Textoindependiente"/>
        <w:rPr>
          <w:rFonts w:ascii="Garamond" w:hAnsi="Garamond"/>
          <w:b/>
          <w:color w:val="000000" w:themeColor="text1"/>
        </w:rPr>
      </w:pPr>
    </w:p>
    <w:p w14:paraId="6E01648D" w14:textId="77777777" w:rsidR="00B3629C" w:rsidRPr="000113B8" w:rsidRDefault="00B3629C">
      <w:pPr>
        <w:pStyle w:val="Textoindependiente"/>
        <w:rPr>
          <w:rFonts w:ascii="Garamond" w:hAnsi="Garamond"/>
          <w:b/>
          <w:color w:val="000000" w:themeColor="text1"/>
        </w:rPr>
      </w:pPr>
    </w:p>
    <w:p w14:paraId="467B5EB9" w14:textId="77777777" w:rsidR="00B3629C" w:rsidRPr="000113B8" w:rsidRDefault="00B3629C">
      <w:pPr>
        <w:pStyle w:val="Textoindependiente"/>
        <w:rPr>
          <w:rFonts w:ascii="Garamond" w:hAnsi="Garamond"/>
          <w:b/>
          <w:color w:val="000000" w:themeColor="text1"/>
        </w:rPr>
      </w:pPr>
    </w:p>
    <w:p w14:paraId="05EDAF76" w14:textId="77777777" w:rsidR="00B3629C" w:rsidRPr="000113B8" w:rsidRDefault="00B3629C">
      <w:pPr>
        <w:pStyle w:val="Textoindependiente"/>
        <w:rPr>
          <w:rFonts w:ascii="Garamond" w:hAnsi="Garamond"/>
          <w:b/>
          <w:color w:val="000000" w:themeColor="text1"/>
        </w:rPr>
      </w:pPr>
    </w:p>
    <w:p w14:paraId="0A70E397" w14:textId="77777777" w:rsidR="00B3629C" w:rsidRPr="000113B8" w:rsidRDefault="00B3629C">
      <w:pPr>
        <w:pStyle w:val="Textoindependiente"/>
        <w:spacing w:before="170"/>
        <w:rPr>
          <w:rFonts w:ascii="Garamond" w:hAnsi="Garamond"/>
          <w:b/>
          <w:color w:val="000000" w:themeColor="text1"/>
        </w:rPr>
      </w:pPr>
    </w:p>
    <w:p w14:paraId="1B1F1EE2" w14:textId="104D4481" w:rsidR="00B3629C" w:rsidRPr="000113B8" w:rsidRDefault="00204EB4" w:rsidP="00784146">
      <w:pPr>
        <w:ind w:left="333" w:right="324"/>
        <w:jc w:val="center"/>
        <w:rPr>
          <w:rFonts w:ascii="Garamond" w:hAnsi="Garamond"/>
          <w:b/>
          <w:color w:val="000000" w:themeColor="text1"/>
        </w:rPr>
        <w:sectPr w:rsidR="00B3629C" w:rsidRPr="000113B8">
          <w:headerReference w:type="default" r:id="rId8"/>
          <w:footerReference w:type="default" r:id="rId9"/>
          <w:type w:val="continuous"/>
          <w:pgSz w:w="12240" w:h="15840"/>
          <w:pgMar w:top="1620" w:right="1440" w:bottom="1320" w:left="1440" w:header="257" w:footer="1132" w:gutter="0"/>
          <w:pgNumType w:start="1"/>
          <w:cols w:space="720"/>
        </w:sectPr>
      </w:pPr>
      <w:r w:rsidRPr="000113B8">
        <w:rPr>
          <w:rFonts w:ascii="Garamond" w:hAnsi="Garamond"/>
          <w:b/>
          <w:color w:val="000000" w:themeColor="text1"/>
        </w:rPr>
        <w:t>B</w:t>
      </w:r>
      <w:r w:rsidR="005C0FC2" w:rsidRPr="000113B8">
        <w:rPr>
          <w:rFonts w:ascii="Garamond" w:hAnsi="Garamond"/>
          <w:b/>
          <w:color w:val="000000" w:themeColor="text1"/>
        </w:rPr>
        <w:t xml:space="preserve">ogotá, </w:t>
      </w:r>
      <w:r w:rsidR="00FD5FA6" w:rsidRPr="000113B8">
        <w:rPr>
          <w:rFonts w:ascii="Garamond" w:hAnsi="Garamond"/>
          <w:b/>
          <w:color w:val="000000" w:themeColor="text1"/>
        </w:rPr>
        <w:t>abril</w:t>
      </w:r>
      <w:r w:rsidR="005C0FC2" w:rsidRPr="000113B8">
        <w:rPr>
          <w:rFonts w:ascii="Garamond" w:hAnsi="Garamond"/>
          <w:b/>
          <w:color w:val="000000" w:themeColor="text1"/>
        </w:rPr>
        <w:t xml:space="preserve"> de </w:t>
      </w:r>
      <w:r w:rsidR="005C0FC2" w:rsidRPr="000113B8">
        <w:rPr>
          <w:rFonts w:ascii="Garamond" w:hAnsi="Garamond"/>
          <w:b/>
          <w:color w:val="000000" w:themeColor="text1"/>
          <w:spacing w:val="-5"/>
        </w:rPr>
        <w:t>202</w:t>
      </w:r>
      <w:r w:rsidR="00784146" w:rsidRPr="000113B8">
        <w:rPr>
          <w:rFonts w:ascii="Garamond" w:hAnsi="Garamond"/>
          <w:b/>
          <w:color w:val="000000" w:themeColor="text1"/>
          <w:spacing w:val="-5"/>
        </w:rPr>
        <w:t>6</w:t>
      </w:r>
    </w:p>
    <w:p w14:paraId="13F08644" w14:textId="77777777" w:rsidR="00B3629C" w:rsidRPr="000113B8" w:rsidRDefault="00B3629C">
      <w:pPr>
        <w:pStyle w:val="Textoindependiente"/>
        <w:rPr>
          <w:rFonts w:ascii="Garamond" w:hAnsi="Garamond"/>
          <w:b/>
          <w:color w:val="000000" w:themeColor="text1"/>
        </w:rPr>
      </w:pPr>
    </w:p>
    <w:p w14:paraId="0F3FC6A6" w14:textId="67D80B0D" w:rsidR="00B3629C" w:rsidRPr="000113B8" w:rsidRDefault="00204EB4" w:rsidP="0073440A">
      <w:pPr>
        <w:jc w:val="both"/>
        <w:rPr>
          <w:rFonts w:ascii="Garamond" w:hAnsi="Garamond"/>
          <w:color w:val="000000" w:themeColor="text1"/>
        </w:rPr>
      </w:pPr>
      <w:r w:rsidRPr="000113B8">
        <w:rPr>
          <w:rFonts w:ascii="Garamond" w:hAnsi="Garamond"/>
          <w:color w:val="000000" w:themeColor="text1"/>
        </w:rPr>
        <w:t>De conformidad con</w:t>
      </w:r>
      <w:r w:rsidRPr="000113B8">
        <w:rPr>
          <w:rFonts w:ascii="Garamond" w:hAnsi="Garamond"/>
          <w:color w:val="000000" w:themeColor="text1"/>
          <w:spacing w:val="-2"/>
        </w:rPr>
        <w:t xml:space="preserve"> </w:t>
      </w:r>
      <w:r w:rsidRPr="000113B8">
        <w:rPr>
          <w:rFonts w:ascii="Garamond" w:hAnsi="Garamond"/>
          <w:color w:val="000000" w:themeColor="text1"/>
        </w:rPr>
        <w:t>lo estipulado</w:t>
      </w:r>
      <w:r w:rsidRPr="000113B8">
        <w:rPr>
          <w:rFonts w:ascii="Garamond" w:hAnsi="Garamond"/>
          <w:color w:val="000000" w:themeColor="text1"/>
          <w:spacing w:val="-2"/>
        </w:rPr>
        <w:t xml:space="preserve"> </w:t>
      </w:r>
      <w:r w:rsidRPr="000113B8">
        <w:rPr>
          <w:rFonts w:ascii="Garamond" w:hAnsi="Garamond"/>
          <w:color w:val="000000" w:themeColor="text1"/>
        </w:rPr>
        <w:t>en el Articulo 2.2.1.1.1.6.1 del Decreto 1082 de</w:t>
      </w:r>
      <w:r w:rsidRPr="000113B8">
        <w:rPr>
          <w:rFonts w:ascii="Garamond" w:hAnsi="Garamond"/>
          <w:color w:val="000000" w:themeColor="text1"/>
          <w:spacing w:val="-2"/>
        </w:rPr>
        <w:t xml:space="preserve"> </w:t>
      </w:r>
      <w:r w:rsidRPr="000113B8">
        <w:rPr>
          <w:rFonts w:ascii="Garamond" w:hAnsi="Garamond"/>
          <w:color w:val="000000" w:themeColor="text1"/>
        </w:rPr>
        <w:t>2015, el</w:t>
      </w:r>
      <w:r w:rsidRPr="000113B8">
        <w:rPr>
          <w:rFonts w:ascii="Garamond" w:hAnsi="Garamond"/>
          <w:color w:val="000000" w:themeColor="text1"/>
          <w:spacing w:val="-1"/>
        </w:rPr>
        <w:t xml:space="preserve"> </w:t>
      </w:r>
      <w:r w:rsidRPr="000113B8">
        <w:rPr>
          <w:rFonts w:ascii="Garamond" w:hAnsi="Garamond"/>
          <w:color w:val="000000" w:themeColor="text1"/>
        </w:rPr>
        <w:t>presente documento tiene como fin realizar el análisis necesario para conocer el sector relativo al objeto del proceso</w:t>
      </w:r>
      <w:r w:rsidRPr="000113B8">
        <w:rPr>
          <w:rFonts w:ascii="Garamond" w:hAnsi="Garamond"/>
          <w:color w:val="000000" w:themeColor="text1"/>
          <w:spacing w:val="-12"/>
        </w:rPr>
        <w:t xml:space="preserve"> </w:t>
      </w:r>
      <w:r w:rsidRPr="000113B8">
        <w:rPr>
          <w:rFonts w:ascii="Garamond" w:hAnsi="Garamond"/>
          <w:color w:val="000000" w:themeColor="text1"/>
        </w:rPr>
        <w:t>de</w:t>
      </w:r>
      <w:r w:rsidRPr="000113B8">
        <w:rPr>
          <w:rFonts w:ascii="Garamond" w:hAnsi="Garamond"/>
          <w:color w:val="000000" w:themeColor="text1"/>
          <w:spacing w:val="-11"/>
        </w:rPr>
        <w:t xml:space="preserve"> </w:t>
      </w:r>
      <w:r w:rsidRPr="000113B8">
        <w:rPr>
          <w:rFonts w:ascii="Garamond" w:hAnsi="Garamond"/>
          <w:color w:val="000000" w:themeColor="text1"/>
        </w:rPr>
        <w:t>contratación</w:t>
      </w:r>
      <w:r w:rsidRPr="000113B8">
        <w:rPr>
          <w:rFonts w:ascii="Garamond" w:hAnsi="Garamond"/>
          <w:color w:val="000000" w:themeColor="text1"/>
          <w:spacing w:val="-11"/>
        </w:rPr>
        <w:t xml:space="preserve"> </w:t>
      </w:r>
      <w:r w:rsidRPr="000113B8">
        <w:rPr>
          <w:rFonts w:ascii="Garamond" w:hAnsi="Garamond"/>
          <w:color w:val="000000" w:themeColor="text1"/>
        </w:rPr>
        <w:t>desde</w:t>
      </w:r>
      <w:r w:rsidRPr="000113B8">
        <w:rPr>
          <w:rFonts w:ascii="Garamond" w:hAnsi="Garamond"/>
          <w:color w:val="000000" w:themeColor="text1"/>
          <w:spacing w:val="-11"/>
        </w:rPr>
        <w:t xml:space="preserve"> </w:t>
      </w:r>
      <w:r w:rsidRPr="000113B8">
        <w:rPr>
          <w:rFonts w:ascii="Garamond" w:hAnsi="Garamond"/>
          <w:color w:val="000000" w:themeColor="text1"/>
        </w:rPr>
        <w:t>la</w:t>
      </w:r>
      <w:r w:rsidRPr="000113B8">
        <w:rPr>
          <w:rFonts w:ascii="Garamond" w:hAnsi="Garamond"/>
          <w:color w:val="000000" w:themeColor="text1"/>
          <w:spacing w:val="-12"/>
        </w:rPr>
        <w:t xml:space="preserve"> </w:t>
      </w:r>
      <w:r w:rsidRPr="000113B8">
        <w:rPr>
          <w:rFonts w:ascii="Garamond" w:hAnsi="Garamond"/>
          <w:color w:val="000000" w:themeColor="text1"/>
        </w:rPr>
        <w:t>perspectiva</w:t>
      </w:r>
      <w:r w:rsidRPr="000113B8">
        <w:rPr>
          <w:rFonts w:ascii="Garamond" w:hAnsi="Garamond"/>
          <w:color w:val="000000" w:themeColor="text1"/>
          <w:spacing w:val="-12"/>
        </w:rPr>
        <w:t xml:space="preserve"> </w:t>
      </w:r>
      <w:r w:rsidRPr="000113B8">
        <w:rPr>
          <w:rFonts w:ascii="Garamond" w:hAnsi="Garamond"/>
          <w:color w:val="000000" w:themeColor="text1"/>
        </w:rPr>
        <w:t>legal,</w:t>
      </w:r>
      <w:r w:rsidRPr="000113B8">
        <w:rPr>
          <w:rFonts w:ascii="Garamond" w:hAnsi="Garamond"/>
          <w:color w:val="000000" w:themeColor="text1"/>
          <w:spacing w:val="-12"/>
        </w:rPr>
        <w:t xml:space="preserve"> </w:t>
      </w:r>
      <w:r w:rsidRPr="000113B8">
        <w:rPr>
          <w:rFonts w:ascii="Garamond" w:hAnsi="Garamond"/>
          <w:color w:val="000000" w:themeColor="text1"/>
        </w:rPr>
        <w:t>comercial,</w:t>
      </w:r>
      <w:r w:rsidRPr="000113B8">
        <w:rPr>
          <w:rFonts w:ascii="Garamond" w:hAnsi="Garamond"/>
          <w:color w:val="000000" w:themeColor="text1"/>
          <w:spacing w:val="-12"/>
        </w:rPr>
        <w:t xml:space="preserve"> </w:t>
      </w:r>
      <w:r w:rsidRPr="000113B8">
        <w:rPr>
          <w:rFonts w:ascii="Garamond" w:hAnsi="Garamond"/>
          <w:color w:val="000000" w:themeColor="text1"/>
        </w:rPr>
        <w:t>financiera,</w:t>
      </w:r>
      <w:r w:rsidRPr="000113B8">
        <w:rPr>
          <w:rFonts w:ascii="Garamond" w:hAnsi="Garamond"/>
          <w:color w:val="000000" w:themeColor="text1"/>
          <w:spacing w:val="-12"/>
        </w:rPr>
        <w:t xml:space="preserve"> </w:t>
      </w:r>
      <w:r w:rsidRPr="000113B8">
        <w:rPr>
          <w:rFonts w:ascii="Garamond" w:hAnsi="Garamond"/>
          <w:color w:val="000000" w:themeColor="text1"/>
        </w:rPr>
        <w:t>organizacional,</w:t>
      </w:r>
      <w:r w:rsidRPr="000113B8">
        <w:rPr>
          <w:rFonts w:ascii="Garamond" w:hAnsi="Garamond"/>
          <w:color w:val="000000" w:themeColor="text1"/>
          <w:spacing w:val="-13"/>
        </w:rPr>
        <w:t xml:space="preserve"> </w:t>
      </w:r>
      <w:r w:rsidRPr="000113B8">
        <w:rPr>
          <w:rFonts w:ascii="Garamond" w:hAnsi="Garamond"/>
          <w:color w:val="000000" w:themeColor="text1"/>
        </w:rPr>
        <w:t>técnica</w:t>
      </w:r>
      <w:r w:rsidRPr="000113B8">
        <w:rPr>
          <w:rFonts w:ascii="Garamond" w:hAnsi="Garamond"/>
          <w:color w:val="000000" w:themeColor="text1"/>
          <w:spacing w:val="-11"/>
        </w:rPr>
        <w:t xml:space="preserve"> </w:t>
      </w:r>
      <w:r w:rsidRPr="000113B8">
        <w:rPr>
          <w:rFonts w:ascii="Garamond" w:hAnsi="Garamond"/>
          <w:color w:val="000000" w:themeColor="text1"/>
        </w:rPr>
        <w:t>y</w:t>
      </w:r>
      <w:r w:rsidRPr="000113B8">
        <w:rPr>
          <w:rFonts w:ascii="Garamond" w:hAnsi="Garamond"/>
          <w:color w:val="000000" w:themeColor="text1"/>
          <w:spacing w:val="-11"/>
        </w:rPr>
        <w:t xml:space="preserve"> </w:t>
      </w:r>
      <w:r w:rsidRPr="000113B8">
        <w:rPr>
          <w:rFonts w:ascii="Garamond" w:hAnsi="Garamond"/>
          <w:color w:val="000000" w:themeColor="text1"/>
        </w:rPr>
        <w:t>de análisis de riesgo. Siendo este un documento anexo al proceso integral</w:t>
      </w:r>
      <w:r w:rsidR="006000A5" w:rsidRPr="000113B8">
        <w:rPr>
          <w:rFonts w:ascii="Garamond" w:hAnsi="Garamond" w:cs="Arial"/>
          <w:bCs/>
          <w:color w:val="000000" w:themeColor="text1"/>
        </w:rPr>
        <w:t xml:space="preserve">, por lo cual se tiene en cuenta la </w:t>
      </w:r>
      <w:r w:rsidR="006000A5" w:rsidRPr="000113B8">
        <w:rPr>
          <w:rFonts w:ascii="Garamond" w:hAnsi="Garamond" w:cs="Arial"/>
          <w:bCs/>
          <w:i/>
          <w:color w:val="000000" w:themeColor="text1"/>
        </w:rPr>
        <w:t>“Guía para la Elaboración de Estudios del Sector</w:t>
      </w:r>
      <w:r w:rsidR="006000A5" w:rsidRPr="000113B8">
        <w:rPr>
          <w:rFonts w:ascii="Garamond" w:hAnsi="Garamond" w:cs="Arial"/>
          <w:bCs/>
          <w:color w:val="000000" w:themeColor="text1"/>
        </w:rPr>
        <w:t>” de la Agencia Nacional de Contratación pública Colombia Compra eficiente 2025.</w:t>
      </w:r>
    </w:p>
    <w:p w14:paraId="2F301B5F" w14:textId="77777777" w:rsidR="0073440A" w:rsidRPr="000113B8" w:rsidRDefault="0073440A" w:rsidP="0073440A">
      <w:pPr>
        <w:jc w:val="both"/>
        <w:rPr>
          <w:rFonts w:ascii="Garamond" w:hAnsi="Garamond"/>
          <w:color w:val="000000" w:themeColor="text1"/>
          <w:spacing w:val="-2"/>
        </w:rPr>
      </w:pPr>
    </w:p>
    <w:p w14:paraId="1CB4993C" w14:textId="46BF2D0D" w:rsidR="00B3629C" w:rsidRPr="000113B8" w:rsidRDefault="00204EB4" w:rsidP="0073440A">
      <w:pPr>
        <w:jc w:val="both"/>
        <w:rPr>
          <w:rFonts w:ascii="Garamond" w:hAnsi="Garamond"/>
          <w:b/>
          <w:bCs/>
          <w:color w:val="000000" w:themeColor="text1"/>
        </w:rPr>
      </w:pPr>
      <w:r w:rsidRPr="000113B8">
        <w:rPr>
          <w:rFonts w:ascii="Garamond" w:hAnsi="Garamond"/>
          <w:b/>
          <w:bCs/>
          <w:color w:val="000000" w:themeColor="text1"/>
          <w:spacing w:val="-2"/>
        </w:rPr>
        <w:t>OBJETO</w:t>
      </w:r>
    </w:p>
    <w:p w14:paraId="7169A5C4" w14:textId="77777777" w:rsidR="005E6F63" w:rsidRPr="000113B8" w:rsidRDefault="00204EB4" w:rsidP="005E6F63">
      <w:pPr>
        <w:pStyle w:val="Standard"/>
        <w:jc w:val="both"/>
        <w:rPr>
          <w:rFonts w:ascii="Garamond" w:hAnsi="Garamond" w:cs="Arial"/>
          <w:color w:val="000000" w:themeColor="text1"/>
          <w:sz w:val="22"/>
          <w:szCs w:val="22"/>
        </w:rPr>
      </w:pPr>
      <w:r w:rsidRPr="000113B8">
        <w:rPr>
          <w:rFonts w:ascii="Garamond" w:hAnsi="Garamond"/>
          <w:color w:val="000000" w:themeColor="text1"/>
          <w:sz w:val="22"/>
          <w:szCs w:val="22"/>
        </w:rPr>
        <w:t xml:space="preserve">El contrato que se pretende celebrar tendrá por objeto </w:t>
      </w:r>
      <w:r w:rsidR="006D15BE" w:rsidRPr="000113B8">
        <w:rPr>
          <w:rFonts w:ascii="Garamond" w:hAnsi="Garamond"/>
          <w:color w:val="000000" w:themeColor="text1"/>
          <w:sz w:val="22"/>
          <w:szCs w:val="22"/>
        </w:rPr>
        <w:t>es,</w:t>
      </w:r>
      <w:r w:rsidR="006D15BE" w:rsidRPr="000113B8">
        <w:rPr>
          <w:rFonts w:ascii="Garamond" w:hAnsi="Garamond"/>
          <w:b/>
          <w:i/>
          <w:color w:val="000000" w:themeColor="text1"/>
          <w:sz w:val="22"/>
          <w:szCs w:val="22"/>
        </w:rPr>
        <w:t xml:space="preserve"> </w:t>
      </w:r>
      <w:r w:rsidR="005E6F63" w:rsidRPr="000113B8">
        <w:rPr>
          <w:rFonts w:ascii="Garamond" w:hAnsi="Garamond" w:cs="Arial"/>
          <w:color w:val="000000" w:themeColor="text1"/>
          <w:sz w:val="22"/>
          <w:szCs w:val="22"/>
        </w:rPr>
        <w:t xml:space="preserve">objeto </w:t>
      </w:r>
      <w:r w:rsidR="005E6F63" w:rsidRPr="000113B8">
        <w:rPr>
          <w:rFonts w:ascii="Garamond" w:hAnsi="Garamond" w:cs="Arial"/>
          <w:b/>
          <w:bCs/>
          <w:color w:val="000000" w:themeColor="text1"/>
          <w:sz w:val="22"/>
          <w:szCs w:val="22"/>
        </w:rPr>
        <w:t>“CONTRATAR LA PÓLIZA DE VIDA PARA LOS EDILES DE LA JUNTA ADMINISTRADORA LOCAL DEL FONDO DE DESARROLLO RURAL DE SUMAPAZ”.</w:t>
      </w:r>
    </w:p>
    <w:p w14:paraId="58BFE92C" w14:textId="77777777" w:rsidR="006D15BE" w:rsidRPr="000113B8" w:rsidRDefault="006D15BE" w:rsidP="0073440A">
      <w:pPr>
        <w:jc w:val="both"/>
        <w:rPr>
          <w:rFonts w:ascii="Garamond" w:hAnsi="Garamond"/>
          <w:b/>
          <w:bCs/>
          <w:color w:val="000000" w:themeColor="text1"/>
        </w:rPr>
      </w:pPr>
    </w:p>
    <w:p w14:paraId="33AE92AF" w14:textId="7AD85849" w:rsidR="00B3629C" w:rsidRPr="000113B8" w:rsidRDefault="00204EB4" w:rsidP="0073440A">
      <w:pPr>
        <w:jc w:val="both"/>
        <w:rPr>
          <w:rFonts w:ascii="Garamond" w:hAnsi="Garamond"/>
          <w:b/>
          <w:bCs/>
          <w:color w:val="000000" w:themeColor="text1"/>
          <w:spacing w:val="-2"/>
        </w:rPr>
      </w:pPr>
      <w:r w:rsidRPr="000113B8">
        <w:rPr>
          <w:rFonts w:ascii="Garamond" w:hAnsi="Garamond"/>
          <w:b/>
          <w:bCs/>
          <w:color w:val="000000" w:themeColor="text1"/>
        </w:rPr>
        <w:t>MODALIDAD</w:t>
      </w:r>
      <w:r w:rsidRPr="000113B8">
        <w:rPr>
          <w:rFonts w:ascii="Garamond" w:hAnsi="Garamond"/>
          <w:b/>
          <w:bCs/>
          <w:color w:val="000000" w:themeColor="text1"/>
          <w:spacing w:val="2"/>
        </w:rPr>
        <w:t xml:space="preserve"> </w:t>
      </w:r>
      <w:r w:rsidRPr="000113B8">
        <w:rPr>
          <w:rFonts w:ascii="Garamond" w:hAnsi="Garamond"/>
          <w:b/>
          <w:bCs/>
          <w:color w:val="000000" w:themeColor="text1"/>
        </w:rPr>
        <w:t>DE</w:t>
      </w:r>
      <w:r w:rsidRPr="000113B8">
        <w:rPr>
          <w:rFonts w:ascii="Garamond" w:hAnsi="Garamond"/>
          <w:b/>
          <w:bCs/>
          <w:color w:val="000000" w:themeColor="text1"/>
          <w:spacing w:val="4"/>
        </w:rPr>
        <w:t xml:space="preserve"> </w:t>
      </w:r>
      <w:r w:rsidRPr="000113B8">
        <w:rPr>
          <w:rFonts w:ascii="Garamond" w:hAnsi="Garamond"/>
          <w:b/>
          <w:bCs/>
          <w:color w:val="000000" w:themeColor="text1"/>
          <w:spacing w:val="-2"/>
        </w:rPr>
        <w:t>CONTRATACIÓN</w:t>
      </w:r>
    </w:p>
    <w:p w14:paraId="0A10F00B" w14:textId="77777777" w:rsidR="0073440A" w:rsidRPr="000113B8" w:rsidRDefault="0073440A" w:rsidP="0073440A">
      <w:pPr>
        <w:jc w:val="both"/>
        <w:rPr>
          <w:rFonts w:ascii="Garamond" w:hAnsi="Garamond"/>
          <w:b/>
          <w:bCs/>
          <w:i/>
          <w:iCs/>
          <w:color w:val="000000" w:themeColor="text1"/>
        </w:rPr>
      </w:pPr>
    </w:p>
    <w:p w14:paraId="348B8FE4" w14:textId="28191DF3" w:rsidR="008246D4" w:rsidRPr="000113B8" w:rsidRDefault="008246D4" w:rsidP="0073440A">
      <w:pPr>
        <w:jc w:val="both"/>
        <w:rPr>
          <w:rFonts w:ascii="Garamond" w:hAnsi="Garamond" w:cs="Arial"/>
          <w:color w:val="000000" w:themeColor="text1"/>
        </w:rPr>
      </w:pPr>
      <w:r w:rsidRPr="000113B8">
        <w:rPr>
          <w:rFonts w:ascii="Garamond" w:hAnsi="Garamond" w:cs="Arial"/>
          <w:color w:val="000000" w:themeColor="text1"/>
        </w:rPr>
        <w:t>La modalidad de selección pertinente</w:t>
      </w:r>
      <w:r w:rsidR="000C3B03" w:rsidRPr="000113B8">
        <w:rPr>
          <w:rFonts w:ascii="Garamond" w:hAnsi="Garamond" w:cs="Arial"/>
          <w:color w:val="000000" w:themeColor="text1"/>
        </w:rPr>
        <w:t xml:space="preserve"> corresponde a </w:t>
      </w:r>
      <w:r w:rsidR="00FA3DF5" w:rsidRPr="000113B8">
        <w:rPr>
          <w:rFonts w:ascii="Garamond" w:hAnsi="Garamond" w:cs="Arial"/>
          <w:b/>
          <w:color w:val="000000" w:themeColor="text1"/>
        </w:rPr>
        <w:t>M</w:t>
      </w:r>
      <w:r w:rsidR="0030777B" w:rsidRPr="000113B8">
        <w:rPr>
          <w:rFonts w:ascii="Garamond" w:hAnsi="Garamond" w:cs="Arial"/>
          <w:b/>
          <w:color w:val="000000" w:themeColor="text1"/>
        </w:rPr>
        <w:t>ínima</w:t>
      </w:r>
      <w:r w:rsidR="00FA3DF5" w:rsidRPr="000113B8">
        <w:rPr>
          <w:rFonts w:ascii="Garamond" w:hAnsi="Garamond" w:cs="Arial"/>
          <w:b/>
          <w:color w:val="000000" w:themeColor="text1"/>
        </w:rPr>
        <w:t xml:space="preserve"> Cuantía</w:t>
      </w:r>
      <w:r w:rsidR="000C3B03" w:rsidRPr="000113B8">
        <w:rPr>
          <w:rFonts w:ascii="Garamond" w:hAnsi="Garamond" w:cs="Arial"/>
          <w:color w:val="000000" w:themeColor="text1"/>
        </w:rPr>
        <w:t xml:space="preserve"> de conformidad con el artículo 30 de la Ley 80 de 1993 y el numeral </w:t>
      </w:r>
      <w:r w:rsidR="0030777B" w:rsidRPr="000113B8">
        <w:rPr>
          <w:rFonts w:ascii="Garamond" w:hAnsi="Garamond" w:cs="Arial"/>
          <w:color w:val="000000" w:themeColor="text1"/>
        </w:rPr>
        <w:t>5</w:t>
      </w:r>
      <w:r w:rsidR="000C3B03" w:rsidRPr="000113B8">
        <w:rPr>
          <w:rFonts w:ascii="Garamond" w:hAnsi="Garamond" w:cs="Arial"/>
          <w:color w:val="000000" w:themeColor="text1"/>
        </w:rPr>
        <w:t xml:space="preserve"> del </w:t>
      </w:r>
      <w:r w:rsidR="006D15BE" w:rsidRPr="000113B8">
        <w:rPr>
          <w:rFonts w:ascii="Garamond" w:hAnsi="Garamond" w:cs="Arial"/>
          <w:color w:val="000000" w:themeColor="text1"/>
        </w:rPr>
        <w:t>artículo</w:t>
      </w:r>
      <w:r w:rsidR="000C3B03" w:rsidRPr="000113B8">
        <w:rPr>
          <w:rFonts w:ascii="Garamond" w:hAnsi="Garamond" w:cs="Arial"/>
          <w:color w:val="000000" w:themeColor="text1"/>
        </w:rPr>
        <w:t xml:space="preserve"> 2 de la ley 1150 de 2007 en concordancia con lo descrito en el Decreto 1082 de 2015.</w:t>
      </w:r>
    </w:p>
    <w:p w14:paraId="0F601422" w14:textId="73F10689" w:rsidR="006000A5" w:rsidRPr="000113B8" w:rsidRDefault="006000A5" w:rsidP="0073440A">
      <w:pPr>
        <w:jc w:val="both"/>
        <w:rPr>
          <w:rFonts w:ascii="Garamond" w:hAnsi="Garamond"/>
          <w:color w:val="000000" w:themeColor="text1"/>
        </w:rPr>
      </w:pPr>
    </w:p>
    <w:p w14:paraId="009499BA" w14:textId="1018B91B" w:rsidR="006000A5" w:rsidRPr="000113B8" w:rsidRDefault="006000A5" w:rsidP="0073440A">
      <w:pPr>
        <w:jc w:val="both"/>
        <w:rPr>
          <w:rFonts w:ascii="Garamond" w:hAnsi="Garamond"/>
          <w:b/>
          <w:color w:val="000000" w:themeColor="text1"/>
        </w:rPr>
      </w:pPr>
      <w:r w:rsidRPr="000113B8">
        <w:rPr>
          <w:rFonts w:ascii="Garamond" w:hAnsi="Garamond"/>
          <w:b/>
          <w:color w:val="000000" w:themeColor="text1"/>
        </w:rPr>
        <w:t>IDENTIFICACIÓN DE CONTRATO</w:t>
      </w:r>
    </w:p>
    <w:p w14:paraId="1F81FB68" w14:textId="77777777" w:rsidR="006000A5" w:rsidRPr="000113B8" w:rsidRDefault="006000A5" w:rsidP="0073440A">
      <w:pPr>
        <w:jc w:val="both"/>
        <w:rPr>
          <w:rFonts w:ascii="Garamond" w:hAnsi="Garamond"/>
          <w:color w:val="000000" w:themeColor="text1"/>
        </w:rPr>
      </w:pPr>
    </w:p>
    <w:p w14:paraId="7CB0EBE6" w14:textId="236AF68A" w:rsidR="006000A5" w:rsidRPr="000113B8" w:rsidRDefault="005E6F63" w:rsidP="0073440A">
      <w:pPr>
        <w:jc w:val="both"/>
        <w:rPr>
          <w:rFonts w:ascii="Garamond" w:hAnsi="Garamond"/>
          <w:color w:val="000000" w:themeColor="text1"/>
        </w:rPr>
      </w:pPr>
      <w:r w:rsidRPr="000113B8">
        <w:rPr>
          <w:rFonts w:ascii="Garamond" w:hAnsi="Garamond" w:cs="Arial"/>
          <w:color w:val="000000" w:themeColor="text1"/>
        </w:rPr>
        <w:t>El contrato que surja del presente proceso de selección corresponde a un contrato de seguro, de conformidad con el Título V, del libro Cuarto del Código de Comercio y demás normas que las modifiquen, adicionen o deroguen y en las materias no reguladas en dichas leyes a las disposiciones civiles y comercial</w:t>
      </w:r>
    </w:p>
    <w:p w14:paraId="34DA17EB" w14:textId="77777777" w:rsidR="005E6F63" w:rsidRPr="000113B8" w:rsidRDefault="005E6F63" w:rsidP="0073440A">
      <w:pPr>
        <w:jc w:val="both"/>
        <w:rPr>
          <w:rFonts w:ascii="Garamond" w:hAnsi="Garamond"/>
          <w:b/>
          <w:bCs/>
          <w:color w:val="000000" w:themeColor="text1"/>
        </w:rPr>
      </w:pPr>
    </w:p>
    <w:p w14:paraId="27910D7A" w14:textId="285736B2" w:rsidR="00B3629C" w:rsidRPr="000113B8" w:rsidRDefault="00204EB4" w:rsidP="0073440A">
      <w:pPr>
        <w:jc w:val="both"/>
        <w:rPr>
          <w:rFonts w:ascii="Garamond" w:hAnsi="Garamond"/>
          <w:b/>
          <w:bCs/>
          <w:color w:val="000000" w:themeColor="text1"/>
          <w:spacing w:val="-2"/>
        </w:rPr>
      </w:pPr>
      <w:r w:rsidRPr="000113B8">
        <w:rPr>
          <w:rFonts w:ascii="Garamond" w:hAnsi="Garamond"/>
          <w:b/>
          <w:bCs/>
          <w:color w:val="000000" w:themeColor="text1"/>
        </w:rPr>
        <w:t>PLAZO</w:t>
      </w:r>
      <w:r w:rsidRPr="000113B8">
        <w:rPr>
          <w:rFonts w:ascii="Garamond" w:hAnsi="Garamond"/>
          <w:b/>
          <w:bCs/>
          <w:color w:val="000000" w:themeColor="text1"/>
          <w:spacing w:val="-1"/>
        </w:rPr>
        <w:t xml:space="preserve"> </w:t>
      </w:r>
      <w:r w:rsidRPr="000113B8">
        <w:rPr>
          <w:rFonts w:ascii="Garamond" w:hAnsi="Garamond"/>
          <w:b/>
          <w:bCs/>
          <w:color w:val="000000" w:themeColor="text1"/>
        </w:rPr>
        <w:t>DE</w:t>
      </w:r>
      <w:r w:rsidRPr="000113B8">
        <w:rPr>
          <w:rFonts w:ascii="Garamond" w:hAnsi="Garamond"/>
          <w:b/>
          <w:bCs/>
          <w:color w:val="000000" w:themeColor="text1"/>
          <w:spacing w:val="-4"/>
        </w:rPr>
        <w:t xml:space="preserve"> </w:t>
      </w:r>
      <w:r w:rsidRPr="000113B8">
        <w:rPr>
          <w:rFonts w:ascii="Garamond" w:hAnsi="Garamond"/>
          <w:b/>
          <w:bCs/>
          <w:color w:val="000000" w:themeColor="text1"/>
          <w:spacing w:val="-2"/>
        </w:rPr>
        <w:t>EJECUCIÓN</w:t>
      </w:r>
    </w:p>
    <w:p w14:paraId="5D335973" w14:textId="77777777" w:rsidR="000061ED" w:rsidRPr="000113B8" w:rsidRDefault="000061ED" w:rsidP="0073440A">
      <w:pPr>
        <w:jc w:val="both"/>
        <w:rPr>
          <w:rFonts w:ascii="Garamond" w:hAnsi="Garamond"/>
          <w:color w:val="000000" w:themeColor="text1"/>
          <w:w w:val="90"/>
        </w:rPr>
      </w:pPr>
    </w:p>
    <w:p w14:paraId="62331AC6" w14:textId="77777777" w:rsidR="008253DC" w:rsidRDefault="008253DC" w:rsidP="008253DC">
      <w:pPr>
        <w:jc w:val="both"/>
        <w:rPr>
          <w:rFonts w:ascii="Garamond" w:hAnsi="Garamond" w:cs="Arial"/>
          <w:lang w:val="es-MX" w:bidi="es-CO"/>
        </w:rPr>
      </w:pPr>
      <w:bookmarkStart w:id="0" w:name="_Hlk137728402"/>
      <w:r>
        <w:rPr>
          <w:rFonts w:ascii="Garamond" w:hAnsi="Garamond" w:cs="Arial"/>
          <w:lang w:val="es-MX" w:bidi="es-CO"/>
        </w:rPr>
        <w:t>E</w:t>
      </w:r>
      <w:r w:rsidRPr="002450A8">
        <w:rPr>
          <w:rFonts w:ascii="Garamond" w:hAnsi="Garamond" w:cs="Arial"/>
          <w:lang w:val="es-MX" w:bidi="es-CO"/>
        </w:rPr>
        <w:t xml:space="preserve">l plazo de ejecución del contrato de seguros, así como la vigencia de la póliza y de los amparos contratados, será de </w:t>
      </w:r>
      <w:r w:rsidRPr="002450A8">
        <w:rPr>
          <w:rFonts w:ascii="Garamond" w:hAnsi="Garamond" w:cs="Arial"/>
          <w:b/>
          <w:bCs/>
          <w:lang w:val="es-MX" w:bidi="es-CO"/>
        </w:rPr>
        <w:t>TRESCIENTOS VEINTIOCHO (328) DÍAS calendario</w:t>
      </w:r>
      <w:r w:rsidRPr="002450A8">
        <w:rPr>
          <w:rFonts w:ascii="Garamond" w:hAnsi="Garamond" w:cs="Arial"/>
          <w:lang w:val="es-MX" w:bidi="es-CO"/>
        </w:rPr>
        <w:t xml:space="preserve">, contados a partir del vencimiento de la póliza actualmente vigente, esto es, desde las </w:t>
      </w:r>
      <w:r w:rsidRPr="002450A8">
        <w:rPr>
          <w:rFonts w:ascii="Garamond" w:hAnsi="Garamond" w:cs="Arial"/>
          <w:b/>
          <w:bCs/>
          <w:lang w:val="es-MX" w:bidi="es-CO"/>
        </w:rPr>
        <w:t>00:00 horas del ocho (08) de mayo de 2026</w:t>
      </w:r>
      <w:r w:rsidRPr="002450A8">
        <w:rPr>
          <w:rFonts w:ascii="Garamond" w:hAnsi="Garamond" w:cs="Arial"/>
          <w:lang w:val="es-MX" w:bidi="es-CO"/>
        </w:rPr>
        <w:t xml:space="preserve"> y hasta la fecha de finalización correspondiente.</w:t>
      </w:r>
    </w:p>
    <w:p w14:paraId="5D970EB2" w14:textId="77777777" w:rsidR="008253DC" w:rsidRPr="002450A8" w:rsidRDefault="008253DC" w:rsidP="008253DC">
      <w:pPr>
        <w:suppressAutoHyphens/>
        <w:jc w:val="both"/>
        <w:textAlignment w:val="baseline"/>
        <w:rPr>
          <w:rFonts w:ascii="Garamond" w:hAnsi="Garamond" w:cs="Arial"/>
          <w:lang w:val="es-MX" w:bidi="es-CO"/>
        </w:rPr>
      </w:pPr>
    </w:p>
    <w:p w14:paraId="071BAAAB" w14:textId="77777777" w:rsidR="008253DC" w:rsidRDefault="008253DC" w:rsidP="008253DC">
      <w:pPr>
        <w:jc w:val="both"/>
        <w:rPr>
          <w:rFonts w:ascii="Garamond" w:hAnsi="Garamond" w:cs="Arial"/>
          <w:lang w:val="es-MX" w:bidi="es-CO"/>
        </w:rPr>
      </w:pPr>
      <w:r w:rsidRPr="002450A8">
        <w:rPr>
          <w:rFonts w:ascii="Garamond" w:hAnsi="Garamond" w:cs="Arial"/>
          <w:lang w:val="es-MX" w:bidi="es-CO"/>
        </w:rPr>
        <w:t xml:space="preserve">El contratista seleccionado deberá expedir la nota de cobertura inmediata y, posteriormente, emitir y entregar la póliza definitiva, junto con sus anexos y documentos soporte, dentro de los </w:t>
      </w:r>
      <w:r w:rsidRPr="002450A8">
        <w:rPr>
          <w:rFonts w:ascii="Garamond" w:hAnsi="Garamond" w:cs="Arial"/>
          <w:b/>
          <w:bCs/>
          <w:lang w:val="es-MX" w:bidi="es-CO"/>
        </w:rPr>
        <w:t>cinco (5) días hábiles siguientes</w:t>
      </w:r>
      <w:r w:rsidRPr="002450A8">
        <w:rPr>
          <w:rFonts w:ascii="Garamond" w:hAnsi="Garamond" w:cs="Arial"/>
          <w:lang w:val="es-MX" w:bidi="es-CO"/>
        </w:rPr>
        <w:t xml:space="preserve"> a la fecha de inicio de la cobertura.</w:t>
      </w:r>
    </w:p>
    <w:p w14:paraId="4B6F1A18" w14:textId="77777777" w:rsidR="008253DC" w:rsidRPr="002450A8" w:rsidRDefault="008253DC" w:rsidP="008253DC">
      <w:pPr>
        <w:suppressAutoHyphens/>
        <w:jc w:val="both"/>
        <w:textAlignment w:val="baseline"/>
        <w:rPr>
          <w:rFonts w:ascii="Garamond" w:hAnsi="Garamond" w:cs="Arial"/>
          <w:lang w:val="es-MX" w:bidi="es-CO"/>
        </w:rPr>
      </w:pPr>
    </w:p>
    <w:p w14:paraId="0048D880" w14:textId="77777777" w:rsidR="008253DC" w:rsidRPr="002450A8" w:rsidRDefault="008253DC" w:rsidP="008253DC">
      <w:pPr>
        <w:suppressAutoHyphens/>
        <w:jc w:val="both"/>
        <w:textAlignment w:val="baseline"/>
        <w:rPr>
          <w:rFonts w:ascii="Garamond" w:hAnsi="Garamond" w:cs="Arial"/>
          <w:lang w:val="es-MX" w:bidi="es-CO"/>
        </w:rPr>
      </w:pPr>
      <w:r w:rsidRPr="002450A8">
        <w:rPr>
          <w:rFonts w:ascii="Garamond" w:hAnsi="Garamond" w:cs="Arial"/>
          <w:lang w:val="es-MX" w:bidi="es-CO"/>
        </w:rPr>
        <w:t>El oferente deberá presentar su propuesta respetando íntegramente el término de vigencia señalado. La presentación de ofertas con un plazo inferior al requerido dará lugar al rechazo de la propuesta.</w:t>
      </w:r>
    </w:p>
    <w:bookmarkEnd w:id="0"/>
    <w:p w14:paraId="15731A2A" w14:textId="77777777" w:rsidR="0012630F" w:rsidRPr="008253DC" w:rsidRDefault="0012630F" w:rsidP="0073440A">
      <w:pPr>
        <w:jc w:val="both"/>
        <w:rPr>
          <w:rFonts w:ascii="Garamond" w:hAnsi="Garamond"/>
          <w:b/>
          <w:bCs/>
          <w:color w:val="000000" w:themeColor="text1"/>
          <w:spacing w:val="-2"/>
          <w:lang w:val="es-MX"/>
        </w:rPr>
      </w:pPr>
    </w:p>
    <w:p w14:paraId="6C2D251F" w14:textId="088946F0" w:rsidR="00B3629C" w:rsidRPr="000113B8" w:rsidRDefault="00204EB4" w:rsidP="0073440A">
      <w:pPr>
        <w:jc w:val="both"/>
        <w:rPr>
          <w:rFonts w:ascii="Garamond" w:hAnsi="Garamond"/>
          <w:b/>
          <w:bCs/>
          <w:color w:val="000000" w:themeColor="text1"/>
          <w:spacing w:val="-2"/>
        </w:rPr>
      </w:pPr>
      <w:r w:rsidRPr="000113B8">
        <w:rPr>
          <w:rFonts w:ascii="Garamond" w:hAnsi="Garamond"/>
          <w:b/>
          <w:bCs/>
          <w:color w:val="000000" w:themeColor="text1"/>
          <w:spacing w:val="-2"/>
        </w:rPr>
        <w:t>VALOR</w:t>
      </w:r>
    </w:p>
    <w:p w14:paraId="68CF4827" w14:textId="77777777" w:rsidR="000061ED" w:rsidRPr="000113B8" w:rsidRDefault="000061ED" w:rsidP="0073440A">
      <w:pPr>
        <w:jc w:val="both"/>
        <w:rPr>
          <w:rFonts w:ascii="Garamond" w:hAnsi="Garamond"/>
          <w:b/>
          <w:bCs/>
          <w:color w:val="000000" w:themeColor="text1"/>
        </w:rPr>
      </w:pPr>
    </w:p>
    <w:p w14:paraId="692E30ED" w14:textId="4E67AE05" w:rsidR="00B3629C" w:rsidRPr="000113B8" w:rsidRDefault="00204EB4" w:rsidP="0073440A">
      <w:pPr>
        <w:jc w:val="both"/>
        <w:rPr>
          <w:rFonts w:ascii="Garamond" w:hAnsi="Garamond"/>
          <w:color w:val="000000" w:themeColor="text1"/>
        </w:rPr>
      </w:pPr>
      <w:r w:rsidRPr="000113B8">
        <w:rPr>
          <w:rFonts w:ascii="Garamond" w:hAnsi="Garamond"/>
          <w:color w:val="000000" w:themeColor="text1"/>
        </w:rPr>
        <w:t>El</w:t>
      </w:r>
      <w:r w:rsidRPr="000113B8">
        <w:rPr>
          <w:rFonts w:ascii="Garamond" w:hAnsi="Garamond"/>
          <w:color w:val="000000" w:themeColor="text1"/>
          <w:spacing w:val="40"/>
        </w:rPr>
        <w:t xml:space="preserve"> </w:t>
      </w:r>
      <w:r w:rsidRPr="000113B8">
        <w:rPr>
          <w:rFonts w:ascii="Garamond" w:hAnsi="Garamond"/>
          <w:color w:val="000000" w:themeColor="text1"/>
        </w:rPr>
        <w:t>presupuesto</w:t>
      </w:r>
      <w:r w:rsidRPr="000113B8">
        <w:rPr>
          <w:rFonts w:ascii="Garamond" w:hAnsi="Garamond"/>
          <w:color w:val="000000" w:themeColor="text1"/>
          <w:spacing w:val="38"/>
        </w:rPr>
        <w:t xml:space="preserve"> </w:t>
      </w:r>
      <w:r w:rsidRPr="000113B8">
        <w:rPr>
          <w:rFonts w:ascii="Garamond" w:hAnsi="Garamond"/>
          <w:color w:val="000000" w:themeColor="text1"/>
        </w:rPr>
        <w:t>oficial</w:t>
      </w:r>
      <w:r w:rsidRPr="000113B8">
        <w:rPr>
          <w:rFonts w:ascii="Garamond" w:hAnsi="Garamond"/>
          <w:color w:val="000000" w:themeColor="text1"/>
          <w:spacing w:val="40"/>
        </w:rPr>
        <w:t xml:space="preserve"> </w:t>
      </w:r>
      <w:r w:rsidRPr="000113B8">
        <w:rPr>
          <w:rFonts w:ascii="Garamond" w:hAnsi="Garamond"/>
          <w:color w:val="000000" w:themeColor="text1"/>
        </w:rPr>
        <w:t>destinado</w:t>
      </w:r>
      <w:r w:rsidRPr="000113B8">
        <w:rPr>
          <w:rFonts w:ascii="Garamond" w:hAnsi="Garamond"/>
          <w:color w:val="000000" w:themeColor="text1"/>
          <w:spacing w:val="40"/>
        </w:rPr>
        <w:t xml:space="preserve"> </w:t>
      </w:r>
      <w:r w:rsidRPr="000113B8">
        <w:rPr>
          <w:rFonts w:ascii="Garamond" w:hAnsi="Garamond"/>
          <w:color w:val="000000" w:themeColor="text1"/>
        </w:rPr>
        <w:t>para</w:t>
      </w:r>
      <w:r w:rsidRPr="000113B8">
        <w:rPr>
          <w:rFonts w:ascii="Garamond" w:hAnsi="Garamond"/>
          <w:color w:val="000000" w:themeColor="text1"/>
          <w:spacing w:val="36"/>
        </w:rPr>
        <w:t xml:space="preserve"> </w:t>
      </w:r>
      <w:r w:rsidRPr="000113B8">
        <w:rPr>
          <w:rFonts w:ascii="Garamond" w:hAnsi="Garamond"/>
          <w:color w:val="000000" w:themeColor="text1"/>
        </w:rPr>
        <w:t>el</w:t>
      </w:r>
      <w:r w:rsidRPr="000113B8">
        <w:rPr>
          <w:rFonts w:ascii="Garamond" w:hAnsi="Garamond"/>
          <w:color w:val="000000" w:themeColor="text1"/>
          <w:spacing w:val="40"/>
        </w:rPr>
        <w:t xml:space="preserve"> </w:t>
      </w:r>
      <w:r w:rsidRPr="000113B8">
        <w:rPr>
          <w:rFonts w:ascii="Garamond" w:hAnsi="Garamond"/>
          <w:color w:val="000000" w:themeColor="text1"/>
        </w:rPr>
        <w:t>presente</w:t>
      </w:r>
      <w:r w:rsidRPr="000113B8">
        <w:rPr>
          <w:rFonts w:ascii="Garamond" w:hAnsi="Garamond"/>
          <w:color w:val="000000" w:themeColor="text1"/>
          <w:spacing w:val="39"/>
        </w:rPr>
        <w:t xml:space="preserve"> </w:t>
      </w:r>
      <w:r w:rsidRPr="000113B8">
        <w:rPr>
          <w:rFonts w:ascii="Garamond" w:hAnsi="Garamond"/>
          <w:color w:val="000000" w:themeColor="text1"/>
        </w:rPr>
        <w:t>proceso</w:t>
      </w:r>
      <w:r w:rsidRPr="000113B8">
        <w:rPr>
          <w:rFonts w:ascii="Garamond" w:hAnsi="Garamond"/>
          <w:color w:val="000000" w:themeColor="text1"/>
          <w:spacing w:val="40"/>
        </w:rPr>
        <w:t xml:space="preserve"> </w:t>
      </w:r>
      <w:r w:rsidRPr="000113B8">
        <w:rPr>
          <w:rFonts w:ascii="Garamond" w:hAnsi="Garamond"/>
          <w:color w:val="000000" w:themeColor="text1"/>
        </w:rPr>
        <w:t>es</w:t>
      </w:r>
      <w:r w:rsidRPr="000113B8">
        <w:rPr>
          <w:rFonts w:ascii="Garamond" w:hAnsi="Garamond"/>
          <w:color w:val="000000" w:themeColor="text1"/>
          <w:spacing w:val="38"/>
        </w:rPr>
        <w:t xml:space="preserve"> </w:t>
      </w:r>
      <w:r w:rsidRPr="000113B8">
        <w:rPr>
          <w:rFonts w:ascii="Garamond" w:hAnsi="Garamond"/>
          <w:color w:val="000000" w:themeColor="text1"/>
        </w:rPr>
        <w:t>de</w:t>
      </w:r>
      <w:r w:rsidRPr="000113B8">
        <w:rPr>
          <w:rFonts w:ascii="Garamond" w:hAnsi="Garamond"/>
          <w:color w:val="000000" w:themeColor="text1"/>
          <w:spacing w:val="40"/>
        </w:rPr>
        <w:t xml:space="preserve"> </w:t>
      </w:r>
      <w:r w:rsidR="00FD5FA6" w:rsidRPr="000113B8">
        <w:rPr>
          <w:rFonts w:ascii="Garamond" w:hAnsi="Garamond" w:cs="Arial"/>
          <w:b/>
          <w:bCs/>
          <w:color w:val="000000" w:themeColor="text1"/>
          <w:lang w:val="es-MX"/>
        </w:rPr>
        <w:t xml:space="preserve">CATORCE MILLONES QUINIENTOS TRES MIL SEISCIENTOS SETENTA PESOS </w:t>
      </w:r>
      <w:r w:rsidR="000F7BED" w:rsidRPr="000113B8">
        <w:rPr>
          <w:rFonts w:ascii="Garamond" w:hAnsi="Garamond" w:cs="Arial"/>
          <w:b/>
          <w:bCs/>
          <w:color w:val="000000" w:themeColor="text1"/>
          <w:lang w:val="es-MX"/>
        </w:rPr>
        <w:t>(</w:t>
      </w:r>
      <w:r w:rsidR="00FD5FA6" w:rsidRPr="000113B8">
        <w:rPr>
          <w:rFonts w:ascii="Garamond" w:hAnsi="Garamond" w:cs="Arial"/>
          <w:b/>
          <w:bCs/>
          <w:color w:val="000000" w:themeColor="text1"/>
          <w:lang w:val="es-MX"/>
        </w:rPr>
        <w:t>$14.503.670) M/CTE</w:t>
      </w:r>
      <w:r w:rsidR="00FD5FA6" w:rsidRPr="000113B8" w:rsidDel="00FD5FA6">
        <w:rPr>
          <w:rFonts w:ascii="Garamond" w:hAnsi="Garamond" w:cs="Arial"/>
          <w:b/>
          <w:bCs/>
          <w:color w:val="000000" w:themeColor="text1"/>
        </w:rPr>
        <w:t xml:space="preserve"> </w:t>
      </w:r>
      <w:r w:rsidRPr="000113B8">
        <w:rPr>
          <w:rFonts w:ascii="Garamond" w:hAnsi="Garamond"/>
          <w:color w:val="000000" w:themeColor="text1"/>
        </w:rPr>
        <w:t>de</w:t>
      </w:r>
      <w:r w:rsidRPr="000113B8">
        <w:rPr>
          <w:rFonts w:ascii="Garamond" w:hAnsi="Garamond"/>
          <w:color w:val="000000" w:themeColor="text1"/>
          <w:spacing w:val="-12"/>
        </w:rPr>
        <w:t xml:space="preserve"> </w:t>
      </w:r>
      <w:r w:rsidRPr="000113B8">
        <w:rPr>
          <w:rFonts w:ascii="Garamond" w:hAnsi="Garamond"/>
          <w:color w:val="000000" w:themeColor="text1"/>
        </w:rPr>
        <w:t>la</w:t>
      </w:r>
      <w:r w:rsidRPr="000113B8">
        <w:rPr>
          <w:rFonts w:ascii="Garamond" w:hAnsi="Garamond"/>
          <w:color w:val="000000" w:themeColor="text1"/>
          <w:spacing w:val="-14"/>
        </w:rPr>
        <w:t xml:space="preserve"> </w:t>
      </w:r>
      <w:r w:rsidRPr="000113B8">
        <w:rPr>
          <w:rFonts w:ascii="Garamond" w:hAnsi="Garamond"/>
          <w:color w:val="000000" w:themeColor="text1"/>
        </w:rPr>
        <w:t>vigencia</w:t>
      </w:r>
      <w:r w:rsidRPr="000113B8">
        <w:rPr>
          <w:rFonts w:ascii="Garamond" w:hAnsi="Garamond"/>
          <w:color w:val="000000" w:themeColor="text1"/>
          <w:spacing w:val="-12"/>
        </w:rPr>
        <w:t xml:space="preserve"> </w:t>
      </w:r>
      <w:r w:rsidRPr="000113B8">
        <w:rPr>
          <w:rFonts w:ascii="Garamond" w:hAnsi="Garamond"/>
          <w:color w:val="000000" w:themeColor="text1"/>
        </w:rPr>
        <w:t>fiscal</w:t>
      </w:r>
      <w:r w:rsidRPr="000113B8">
        <w:rPr>
          <w:rFonts w:ascii="Garamond" w:hAnsi="Garamond"/>
          <w:color w:val="000000" w:themeColor="text1"/>
          <w:spacing w:val="-11"/>
        </w:rPr>
        <w:t xml:space="preserve"> </w:t>
      </w:r>
      <w:r w:rsidRPr="000113B8">
        <w:rPr>
          <w:rFonts w:ascii="Garamond" w:hAnsi="Garamond"/>
          <w:color w:val="000000" w:themeColor="text1"/>
        </w:rPr>
        <w:t>202</w:t>
      </w:r>
      <w:r w:rsidR="00E521C7" w:rsidRPr="000113B8">
        <w:rPr>
          <w:rFonts w:ascii="Garamond" w:hAnsi="Garamond"/>
          <w:color w:val="000000" w:themeColor="text1"/>
        </w:rPr>
        <w:t>6</w:t>
      </w:r>
      <w:r w:rsidRPr="000113B8">
        <w:rPr>
          <w:rFonts w:ascii="Garamond" w:hAnsi="Garamond"/>
          <w:color w:val="000000" w:themeColor="text1"/>
        </w:rPr>
        <w:t>,</w:t>
      </w:r>
      <w:r w:rsidRPr="000113B8">
        <w:rPr>
          <w:rFonts w:ascii="Garamond" w:hAnsi="Garamond"/>
          <w:color w:val="000000" w:themeColor="text1"/>
          <w:spacing w:val="-13"/>
        </w:rPr>
        <w:t xml:space="preserve"> </w:t>
      </w:r>
      <w:r w:rsidRPr="000113B8">
        <w:rPr>
          <w:rFonts w:ascii="Garamond" w:hAnsi="Garamond"/>
          <w:color w:val="000000" w:themeColor="text1"/>
        </w:rPr>
        <w:t>incluido</w:t>
      </w:r>
      <w:r w:rsidRPr="000113B8">
        <w:rPr>
          <w:rFonts w:ascii="Garamond" w:hAnsi="Garamond"/>
          <w:color w:val="000000" w:themeColor="text1"/>
          <w:spacing w:val="-14"/>
        </w:rPr>
        <w:t xml:space="preserve"> </w:t>
      </w:r>
      <w:r w:rsidRPr="000113B8">
        <w:rPr>
          <w:rFonts w:ascii="Garamond" w:hAnsi="Garamond"/>
          <w:color w:val="000000" w:themeColor="text1"/>
        </w:rPr>
        <w:t>IVA</w:t>
      </w:r>
      <w:r w:rsidRPr="000113B8">
        <w:rPr>
          <w:rFonts w:ascii="Garamond" w:hAnsi="Garamond"/>
          <w:color w:val="000000" w:themeColor="text1"/>
          <w:spacing w:val="-13"/>
        </w:rPr>
        <w:t xml:space="preserve"> </w:t>
      </w:r>
      <w:r w:rsidRPr="000113B8">
        <w:rPr>
          <w:rFonts w:ascii="Garamond" w:hAnsi="Garamond"/>
          <w:color w:val="000000" w:themeColor="text1"/>
        </w:rPr>
        <w:t>y</w:t>
      </w:r>
      <w:r w:rsidRPr="000113B8">
        <w:rPr>
          <w:rFonts w:ascii="Garamond" w:hAnsi="Garamond"/>
          <w:color w:val="000000" w:themeColor="text1"/>
          <w:spacing w:val="-10"/>
        </w:rPr>
        <w:t xml:space="preserve"> </w:t>
      </w:r>
      <w:r w:rsidRPr="000113B8">
        <w:rPr>
          <w:rFonts w:ascii="Garamond" w:hAnsi="Garamond"/>
          <w:color w:val="000000" w:themeColor="text1"/>
        </w:rPr>
        <w:t xml:space="preserve">retenciones, impuestos, tasas, </w:t>
      </w:r>
      <w:r w:rsidR="00B11BB4" w:rsidRPr="000113B8">
        <w:rPr>
          <w:rFonts w:ascii="Garamond" w:hAnsi="Garamond"/>
          <w:color w:val="000000" w:themeColor="text1"/>
        </w:rPr>
        <w:t>contribuciones</w:t>
      </w:r>
      <w:r w:rsidRPr="000113B8">
        <w:rPr>
          <w:rFonts w:ascii="Garamond" w:hAnsi="Garamond"/>
          <w:color w:val="000000" w:themeColor="text1"/>
        </w:rPr>
        <w:t xml:space="preserve"> y demás descuentos de Ley a que haya lugar.</w:t>
      </w:r>
    </w:p>
    <w:p w14:paraId="6A5DDCD3" w14:textId="77777777" w:rsidR="0073440A" w:rsidRPr="000113B8" w:rsidRDefault="0073440A" w:rsidP="0073440A">
      <w:pPr>
        <w:rPr>
          <w:rFonts w:ascii="Garamond" w:hAnsi="Garamond"/>
          <w:color w:val="000000" w:themeColor="text1"/>
        </w:rPr>
      </w:pPr>
    </w:p>
    <w:p w14:paraId="2F91C7D0" w14:textId="4FBD57E9" w:rsidR="00B3629C" w:rsidRPr="000113B8" w:rsidRDefault="00204EB4" w:rsidP="00C54B99">
      <w:pPr>
        <w:pStyle w:val="Prrafodelista"/>
        <w:numPr>
          <w:ilvl w:val="0"/>
          <w:numId w:val="2"/>
        </w:numPr>
        <w:rPr>
          <w:rFonts w:ascii="Garamond" w:hAnsi="Garamond"/>
          <w:b/>
          <w:bCs/>
          <w:color w:val="000000" w:themeColor="text1"/>
        </w:rPr>
      </w:pPr>
      <w:r w:rsidRPr="000113B8">
        <w:rPr>
          <w:rFonts w:ascii="Garamond" w:hAnsi="Garamond"/>
          <w:b/>
          <w:bCs/>
          <w:color w:val="000000" w:themeColor="text1"/>
        </w:rPr>
        <w:t>ASPECTOS</w:t>
      </w:r>
      <w:r w:rsidRPr="000113B8">
        <w:rPr>
          <w:rFonts w:ascii="Garamond" w:hAnsi="Garamond"/>
          <w:b/>
          <w:bCs/>
          <w:color w:val="000000" w:themeColor="text1"/>
          <w:spacing w:val="-4"/>
        </w:rPr>
        <w:t xml:space="preserve"> </w:t>
      </w:r>
      <w:r w:rsidRPr="000113B8">
        <w:rPr>
          <w:rFonts w:ascii="Garamond" w:hAnsi="Garamond"/>
          <w:b/>
          <w:bCs/>
          <w:color w:val="000000" w:themeColor="text1"/>
        </w:rPr>
        <w:t>GENERALES</w:t>
      </w:r>
      <w:r w:rsidRPr="000113B8">
        <w:rPr>
          <w:rFonts w:ascii="Garamond" w:hAnsi="Garamond"/>
          <w:b/>
          <w:bCs/>
          <w:color w:val="000000" w:themeColor="text1"/>
          <w:spacing w:val="1"/>
        </w:rPr>
        <w:t xml:space="preserve"> </w:t>
      </w:r>
      <w:r w:rsidRPr="000113B8">
        <w:rPr>
          <w:rFonts w:ascii="Garamond" w:hAnsi="Garamond"/>
          <w:b/>
          <w:bCs/>
          <w:color w:val="000000" w:themeColor="text1"/>
        </w:rPr>
        <w:t>DEL</w:t>
      </w:r>
      <w:r w:rsidRPr="000113B8">
        <w:rPr>
          <w:rFonts w:ascii="Garamond" w:hAnsi="Garamond"/>
          <w:b/>
          <w:bCs/>
          <w:color w:val="000000" w:themeColor="text1"/>
          <w:spacing w:val="-1"/>
        </w:rPr>
        <w:t xml:space="preserve"> </w:t>
      </w:r>
      <w:r w:rsidRPr="000113B8">
        <w:rPr>
          <w:rFonts w:ascii="Garamond" w:hAnsi="Garamond"/>
          <w:b/>
          <w:bCs/>
          <w:color w:val="000000" w:themeColor="text1"/>
        </w:rPr>
        <w:t>MERCADO</w:t>
      </w:r>
    </w:p>
    <w:p w14:paraId="2CEA6848" w14:textId="77777777" w:rsidR="0073440A" w:rsidRPr="000113B8" w:rsidRDefault="0073440A" w:rsidP="0073440A">
      <w:pPr>
        <w:rPr>
          <w:rFonts w:ascii="Garamond" w:hAnsi="Garamond"/>
          <w:color w:val="000000" w:themeColor="text1"/>
        </w:rPr>
      </w:pPr>
    </w:p>
    <w:p w14:paraId="516C17FC" w14:textId="77777777" w:rsidR="0048378A" w:rsidRPr="000113B8" w:rsidRDefault="0048378A" w:rsidP="0048378A">
      <w:pPr>
        <w:pStyle w:val="Textoindependiente"/>
        <w:spacing w:line="235" w:lineRule="auto"/>
        <w:jc w:val="both"/>
        <w:rPr>
          <w:rFonts w:ascii="Garamond" w:hAnsi="Garamond"/>
          <w:color w:val="000000" w:themeColor="text1"/>
        </w:rPr>
      </w:pPr>
      <w:r w:rsidRPr="000113B8">
        <w:rPr>
          <w:rFonts w:ascii="Garamond" w:hAnsi="Garamond"/>
          <w:color w:val="000000" w:themeColor="text1"/>
        </w:rPr>
        <w:t>El estudio del sector constituye una etapa esencial dentro de la planeación del proceso de contratación, en cuanto materializa los principios de planeación, responsabilidad y transparencia consagrados en la Ley 80 de 1993. Su propósito es identificar a los actores que participan en el mercado relacionado con el objeto contractual y el proceso a adelantar, con el fin de garantizar la adecuada estructuración del contrato y el cumplimiento de los fines estatales.</w:t>
      </w:r>
    </w:p>
    <w:p w14:paraId="3AE0FB3C" w14:textId="77777777" w:rsidR="0048378A" w:rsidRPr="000113B8" w:rsidRDefault="0048378A" w:rsidP="0048378A">
      <w:pPr>
        <w:pStyle w:val="Textoindependiente"/>
        <w:spacing w:line="235" w:lineRule="auto"/>
        <w:jc w:val="both"/>
        <w:rPr>
          <w:rFonts w:ascii="Garamond" w:hAnsi="Garamond"/>
          <w:color w:val="000000" w:themeColor="text1"/>
        </w:rPr>
      </w:pPr>
    </w:p>
    <w:p w14:paraId="6412FAB8" w14:textId="77777777" w:rsidR="0048378A" w:rsidRPr="000113B8" w:rsidRDefault="0048378A" w:rsidP="0048378A">
      <w:pPr>
        <w:pStyle w:val="Textoindependiente"/>
        <w:spacing w:line="235" w:lineRule="auto"/>
        <w:jc w:val="both"/>
        <w:rPr>
          <w:rFonts w:ascii="Garamond" w:hAnsi="Garamond"/>
          <w:color w:val="000000" w:themeColor="text1"/>
        </w:rPr>
      </w:pPr>
      <w:r w:rsidRPr="000113B8">
        <w:rPr>
          <w:rFonts w:ascii="Garamond" w:hAnsi="Garamond"/>
          <w:color w:val="000000" w:themeColor="text1"/>
        </w:rPr>
        <w:t>En este sentido, el presente estudio de sector se elabora en cumplimiento de lo establecido en el Decreto Único Reglamentario 1082 del 26 de marzo de 2015, el cual dispone que, durante la etapa de planeación, las Entidades Estatales deben realizar un análisis exhaustivo del sector vinculado al objeto de contratación. Dicho análisis debe abarcar las dimensiones legal, comercial, financiera, organizacional y de riesgos, cuya evidencia deberá incorporarse y conservarse como soporte dentro de los documentos del proceso de contratación.</w:t>
      </w:r>
    </w:p>
    <w:p w14:paraId="6A8518A0" w14:textId="77777777" w:rsidR="00423523" w:rsidRPr="000113B8" w:rsidRDefault="00423523" w:rsidP="0048378A">
      <w:pPr>
        <w:pStyle w:val="Textoindependiente"/>
        <w:spacing w:line="235" w:lineRule="auto"/>
        <w:jc w:val="both"/>
        <w:rPr>
          <w:rFonts w:ascii="Garamond" w:hAnsi="Garamond"/>
          <w:color w:val="000000" w:themeColor="text1"/>
        </w:rPr>
      </w:pPr>
    </w:p>
    <w:p w14:paraId="47296173" w14:textId="77777777" w:rsidR="0048378A" w:rsidRPr="000113B8" w:rsidRDefault="0048378A" w:rsidP="0048378A">
      <w:pPr>
        <w:pStyle w:val="Textoindependiente"/>
        <w:spacing w:line="235" w:lineRule="auto"/>
        <w:jc w:val="both"/>
        <w:rPr>
          <w:rFonts w:ascii="Garamond" w:hAnsi="Garamond"/>
          <w:color w:val="000000" w:themeColor="text1"/>
        </w:rPr>
      </w:pPr>
    </w:p>
    <w:p w14:paraId="5593BF15" w14:textId="0A4F4CF3" w:rsidR="00B3629C" w:rsidRPr="000113B8" w:rsidRDefault="0048378A" w:rsidP="00710D8E">
      <w:pPr>
        <w:jc w:val="both"/>
        <w:rPr>
          <w:rFonts w:ascii="Garamond" w:hAnsi="Garamond"/>
          <w:color w:val="000000" w:themeColor="text1"/>
        </w:rPr>
      </w:pPr>
      <w:r w:rsidRPr="000113B8">
        <w:rPr>
          <w:rFonts w:ascii="Garamond" w:hAnsi="Garamond"/>
          <w:color w:val="000000" w:themeColor="text1"/>
        </w:rPr>
        <w:t>De igual manera, el numeral 1º del artículo 2.2.1.1.2.1.3 del Decreto 1082 de 2015 establece que las Entidades Estatales tienen la obligación de señalar la descripción técnica, detallada y completa del bien o servicio objeto del contrato, identificando además el nivel del clasificador de bienes y servicios correspondiente. En concordancia con lo anterior, y siguiendo la guía para la codificación de bienes y servicios conforme al estándar internacional de Naciones Unidas (UNSPSC), se procede a la clasificación del objeto contractual, asegurando que la definición técnica sea clara, precisa y permita la participación efectiva de los oferentes. Con base a lo anterior se elabora el presente estudio de sector, en concordancia a los lineamientos estipulados en la guía:</w:t>
      </w:r>
    </w:p>
    <w:p w14:paraId="6C2D52D0" w14:textId="77777777" w:rsidR="00AC52ED" w:rsidRPr="000113B8" w:rsidRDefault="00AC52ED" w:rsidP="00710D8E">
      <w:pPr>
        <w:jc w:val="both"/>
        <w:rPr>
          <w:rFonts w:ascii="Garamond" w:hAnsi="Garamond"/>
          <w:color w:val="000000" w:themeColor="text1"/>
        </w:rPr>
      </w:pPr>
    </w:p>
    <w:tbl>
      <w:tblPr>
        <w:tblStyle w:val="Tablanormal1"/>
        <w:tblW w:w="5000" w:type="pct"/>
        <w:tblLook w:val="04A0" w:firstRow="1" w:lastRow="0" w:firstColumn="1" w:lastColumn="0" w:noHBand="0" w:noVBand="1"/>
      </w:tblPr>
      <w:tblGrid>
        <w:gridCol w:w="2302"/>
        <w:gridCol w:w="2233"/>
        <w:gridCol w:w="2195"/>
        <w:gridCol w:w="2620"/>
      </w:tblGrid>
      <w:tr w:rsidR="009A7F8F" w:rsidRPr="000113B8" w14:paraId="586F991B" w14:textId="77777777" w:rsidTr="00FF19BB">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1231" w:type="pct"/>
            <w:hideMark/>
          </w:tcPr>
          <w:p w14:paraId="6608AC0D" w14:textId="77777777" w:rsidR="00FF19BB" w:rsidRPr="000113B8" w:rsidRDefault="00FF19BB" w:rsidP="007F25B7">
            <w:pPr>
              <w:pStyle w:val="EstiloTtulo11pt"/>
              <w:spacing w:before="0" w:after="0"/>
              <w:jc w:val="center"/>
              <w:rPr>
                <w:rFonts w:ascii="Garamond" w:hAnsi="Garamond" w:cs="Arial"/>
                <w:b/>
                <w:bCs w:val="0"/>
                <w:color w:val="000000" w:themeColor="text1"/>
                <w:sz w:val="22"/>
                <w:szCs w:val="22"/>
                <w:lang w:val="es-ES"/>
              </w:rPr>
            </w:pPr>
            <w:r w:rsidRPr="000113B8">
              <w:rPr>
                <w:rFonts w:ascii="Garamond" w:hAnsi="Garamond" w:cs="Arial"/>
                <w:b/>
                <w:bCs w:val="0"/>
                <w:color w:val="000000" w:themeColor="text1"/>
                <w:sz w:val="22"/>
                <w:szCs w:val="22"/>
                <w:lang w:val="es-ES"/>
              </w:rPr>
              <w:t>Segmento</w:t>
            </w:r>
          </w:p>
        </w:tc>
        <w:tc>
          <w:tcPr>
            <w:tcW w:w="1194" w:type="pct"/>
            <w:hideMark/>
          </w:tcPr>
          <w:p w14:paraId="75BD6D0C" w14:textId="77777777" w:rsidR="00FF19BB" w:rsidRPr="000113B8" w:rsidRDefault="00FF19BB" w:rsidP="007F25B7">
            <w:pPr>
              <w:pStyle w:val="EstiloTtulo11pt"/>
              <w:spacing w:before="0" w:after="0"/>
              <w:jc w:val="center"/>
              <w:cnfStyle w:val="100000000000" w:firstRow="1" w:lastRow="0" w:firstColumn="0" w:lastColumn="0" w:oddVBand="0" w:evenVBand="0" w:oddHBand="0" w:evenHBand="0" w:firstRowFirstColumn="0" w:firstRowLastColumn="0" w:lastRowFirstColumn="0" w:lastRowLastColumn="0"/>
              <w:rPr>
                <w:rFonts w:ascii="Garamond" w:hAnsi="Garamond" w:cs="Arial"/>
                <w:b/>
                <w:bCs w:val="0"/>
                <w:color w:val="000000" w:themeColor="text1"/>
                <w:sz w:val="22"/>
                <w:szCs w:val="22"/>
                <w:lang w:val="es-ES"/>
              </w:rPr>
            </w:pPr>
            <w:r w:rsidRPr="000113B8">
              <w:rPr>
                <w:rFonts w:ascii="Garamond" w:hAnsi="Garamond" w:cs="Arial"/>
                <w:color w:val="000000" w:themeColor="text1"/>
                <w:sz w:val="22"/>
                <w:szCs w:val="22"/>
                <w:lang w:val="es-ES"/>
              </w:rPr>
              <w:t>Familia</w:t>
            </w:r>
          </w:p>
        </w:tc>
        <w:tc>
          <w:tcPr>
            <w:tcW w:w="1174" w:type="pct"/>
            <w:hideMark/>
          </w:tcPr>
          <w:p w14:paraId="7F0D6F00" w14:textId="77777777" w:rsidR="00FF19BB" w:rsidRPr="000113B8" w:rsidRDefault="00FF19BB" w:rsidP="007F25B7">
            <w:pPr>
              <w:pStyle w:val="EstiloTtulo11pt"/>
              <w:spacing w:before="0" w:after="0"/>
              <w:jc w:val="center"/>
              <w:cnfStyle w:val="100000000000" w:firstRow="1" w:lastRow="0" w:firstColumn="0" w:lastColumn="0" w:oddVBand="0" w:evenVBand="0" w:oddHBand="0" w:evenHBand="0" w:firstRowFirstColumn="0" w:firstRowLastColumn="0" w:lastRowFirstColumn="0" w:lastRowLastColumn="0"/>
              <w:rPr>
                <w:rFonts w:ascii="Garamond" w:hAnsi="Garamond" w:cs="Arial"/>
                <w:b/>
                <w:bCs w:val="0"/>
                <w:color w:val="000000" w:themeColor="text1"/>
                <w:sz w:val="22"/>
                <w:szCs w:val="22"/>
                <w:lang w:val="es-ES"/>
              </w:rPr>
            </w:pPr>
            <w:r w:rsidRPr="000113B8">
              <w:rPr>
                <w:rFonts w:ascii="Garamond" w:hAnsi="Garamond" w:cs="Arial"/>
                <w:color w:val="000000" w:themeColor="text1"/>
                <w:sz w:val="22"/>
                <w:szCs w:val="22"/>
                <w:lang w:val="es-ES"/>
              </w:rPr>
              <w:t>Clase</w:t>
            </w:r>
          </w:p>
        </w:tc>
        <w:tc>
          <w:tcPr>
            <w:tcW w:w="1401" w:type="pct"/>
            <w:hideMark/>
          </w:tcPr>
          <w:p w14:paraId="416846C4" w14:textId="77777777" w:rsidR="00FF19BB" w:rsidRPr="000113B8" w:rsidRDefault="00FF19BB" w:rsidP="007F25B7">
            <w:pPr>
              <w:pStyle w:val="EstiloTtulo11pt"/>
              <w:spacing w:before="0" w:after="0"/>
              <w:jc w:val="center"/>
              <w:cnfStyle w:val="100000000000" w:firstRow="1" w:lastRow="0" w:firstColumn="0" w:lastColumn="0" w:oddVBand="0" w:evenVBand="0" w:oddHBand="0" w:evenHBand="0" w:firstRowFirstColumn="0" w:firstRowLastColumn="0" w:lastRowFirstColumn="0" w:lastRowLastColumn="0"/>
              <w:rPr>
                <w:rFonts w:ascii="Garamond" w:hAnsi="Garamond" w:cs="Arial"/>
                <w:b/>
                <w:bCs w:val="0"/>
                <w:color w:val="000000" w:themeColor="text1"/>
                <w:sz w:val="22"/>
                <w:szCs w:val="22"/>
                <w:lang w:val="es-ES"/>
              </w:rPr>
            </w:pPr>
            <w:r w:rsidRPr="000113B8">
              <w:rPr>
                <w:rFonts w:ascii="Garamond" w:hAnsi="Garamond" w:cs="Arial"/>
                <w:color w:val="000000" w:themeColor="text1"/>
                <w:sz w:val="22"/>
                <w:szCs w:val="22"/>
                <w:lang w:val="es-ES"/>
              </w:rPr>
              <w:t>Nombre</w:t>
            </w:r>
          </w:p>
        </w:tc>
      </w:tr>
      <w:tr w:rsidR="009A7F8F" w:rsidRPr="000113B8" w14:paraId="7598D154" w14:textId="77777777" w:rsidTr="00FF19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31" w:type="pct"/>
            <w:hideMark/>
          </w:tcPr>
          <w:p w14:paraId="4C517AB9" w14:textId="77777777" w:rsidR="00FF19BB" w:rsidRPr="000113B8" w:rsidRDefault="00FF19BB" w:rsidP="007F25B7">
            <w:pPr>
              <w:pStyle w:val="EstiloTtulo11pt"/>
              <w:spacing w:before="0" w:after="0"/>
              <w:rPr>
                <w:rFonts w:ascii="Garamond" w:hAnsi="Garamond" w:cs="Arial"/>
                <w:b/>
                <w:color w:val="000000" w:themeColor="text1"/>
                <w:sz w:val="22"/>
                <w:szCs w:val="22"/>
                <w:lang w:val="es-ES"/>
              </w:rPr>
            </w:pPr>
            <w:r w:rsidRPr="000113B8">
              <w:rPr>
                <w:rFonts w:ascii="Garamond" w:hAnsi="Garamond" w:cs="Arial"/>
                <w:color w:val="000000" w:themeColor="text1"/>
                <w:sz w:val="22"/>
                <w:szCs w:val="22"/>
                <w:lang w:val="es-ES"/>
              </w:rPr>
              <w:t>(F) Servicios</w:t>
            </w:r>
          </w:p>
        </w:tc>
        <w:tc>
          <w:tcPr>
            <w:tcW w:w="1194" w:type="pct"/>
            <w:hideMark/>
          </w:tcPr>
          <w:p w14:paraId="6CDDE3D8" w14:textId="77777777" w:rsidR="00FF19BB" w:rsidRPr="000113B8" w:rsidRDefault="00FF19BB" w:rsidP="007F25B7">
            <w:pPr>
              <w:pStyle w:val="EstiloTtulo11pt"/>
              <w:spacing w:before="0" w:after="0"/>
              <w:cnfStyle w:val="000000100000" w:firstRow="0" w:lastRow="0" w:firstColumn="0" w:lastColumn="0" w:oddVBand="0" w:evenVBand="0" w:oddHBand="1" w:evenHBand="0" w:firstRowFirstColumn="0" w:firstRowLastColumn="0" w:lastRowFirstColumn="0" w:lastRowLastColumn="0"/>
              <w:rPr>
                <w:rFonts w:ascii="Garamond" w:hAnsi="Garamond" w:cs="Arial"/>
                <w:b w:val="0"/>
                <w:color w:val="000000" w:themeColor="text1"/>
                <w:sz w:val="22"/>
                <w:szCs w:val="22"/>
                <w:lang w:val="es-ES"/>
              </w:rPr>
            </w:pPr>
            <w:r w:rsidRPr="000113B8">
              <w:rPr>
                <w:rFonts w:ascii="Garamond" w:hAnsi="Garamond" w:cs="Arial"/>
                <w:b w:val="0"/>
                <w:color w:val="000000" w:themeColor="text1"/>
                <w:sz w:val="22"/>
                <w:szCs w:val="22"/>
                <w:lang w:val="es-ES"/>
              </w:rPr>
              <w:t>(84000000) Servicios Financieros y de Seguros</w:t>
            </w:r>
          </w:p>
        </w:tc>
        <w:tc>
          <w:tcPr>
            <w:tcW w:w="1174" w:type="pct"/>
            <w:hideMark/>
          </w:tcPr>
          <w:p w14:paraId="177AD11A" w14:textId="7E7BA2A0" w:rsidR="00FF19BB" w:rsidRPr="000113B8" w:rsidRDefault="00FF19BB" w:rsidP="007F25B7">
            <w:pPr>
              <w:pStyle w:val="EstiloTtulo11pt"/>
              <w:spacing w:before="0" w:after="0"/>
              <w:cnfStyle w:val="000000100000" w:firstRow="0" w:lastRow="0" w:firstColumn="0" w:lastColumn="0" w:oddVBand="0" w:evenVBand="0" w:oddHBand="1" w:evenHBand="0" w:firstRowFirstColumn="0" w:firstRowLastColumn="0" w:lastRowFirstColumn="0" w:lastRowLastColumn="0"/>
              <w:rPr>
                <w:rFonts w:ascii="Garamond" w:hAnsi="Garamond" w:cs="Arial"/>
                <w:b w:val="0"/>
                <w:color w:val="000000" w:themeColor="text1"/>
                <w:sz w:val="22"/>
                <w:szCs w:val="22"/>
                <w:lang w:val="es-ES"/>
              </w:rPr>
            </w:pPr>
            <w:r w:rsidRPr="000113B8">
              <w:rPr>
                <w:rFonts w:ascii="Garamond" w:hAnsi="Garamond" w:cs="Arial"/>
                <w:b w:val="0"/>
                <w:color w:val="000000" w:themeColor="text1"/>
                <w:sz w:val="22"/>
                <w:szCs w:val="22"/>
                <w:lang w:val="es-ES"/>
              </w:rPr>
              <w:t xml:space="preserve">(84130000) Servicios de Seguros y </w:t>
            </w:r>
            <w:r w:rsidR="00F36DD5" w:rsidRPr="000113B8">
              <w:rPr>
                <w:rFonts w:ascii="Garamond" w:hAnsi="Garamond" w:cs="Arial"/>
                <w:b w:val="0"/>
                <w:color w:val="000000" w:themeColor="text1"/>
                <w:sz w:val="22"/>
                <w:szCs w:val="22"/>
                <w:lang w:val="es-ES"/>
              </w:rPr>
              <w:t>jubilación</w:t>
            </w:r>
            <w:r w:rsidRPr="000113B8">
              <w:rPr>
                <w:rFonts w:ascii="Garamond" w:hAnsi="Garamond" w:cs="Arial"/>
                <w:b w:val="0"/>
                <w:color w:val="000000" w:themeColor="text1"/>
                <w:sz w:val="22"/>
                <w:szCs w:val="22"/>
                <w:lang w:val="es-ES"/>
              </w:rPr>
              <w:t xml:space="preserve"> </w:t>
            </w:r>
          </w:p>
        </w:tc>
        <w:tc>
          <w:tcPr>
            <w:tcW w:w="1401" w:type="pct"/>
            <w:hideMark/>
          </w:tcPr>
          <w:p w14:paraId="5DB4A132" w14:textId="611E4E1B" w:rsidR="00FF19BB" w:rsidRPr="000113B8" w:rsidRDefault="00FF19BB" w:rsidP="007F25B7">
            <w:pPr>
              <w:pStyle w:val="EstiloTtulo11pt"/>
              <w:spacing w:before="0" w:after="0"/>
              <w:cnfStyle w:val="000000100000" w:firstRow="0" w:lastRow="0" w:firstColumn="0" w:lastColumn="0" w:oddVBand="0" w:evenVBand="0" w:oddHBand="1" w:evenHBand="0" w:firstRowFirstColumn="0" w:firstRowLastColumn="0" w:lastRowFirstColumn="0" w:lastRowLastColumn="0"/>
              <w:rPr>
                <w:rFonts w:ascii="Garamond" w:hAnsi="Garamond" w:cs="Arial"/>
                <w:b w:val="0"/>
                <w:color w:val="000000" w:themeColor="text1"/>
                <w:sz w:val="22"/>
                <w:szCs w:val="22"/>
                <w:lang w:val="es-ES"/>
              </w:rPr>
            </w:pPr>
            <w:r w:rsidRPr="000113B8">
              <w:rPr>
                <w:rFonts w:ascii="Garamond" w:hAnsi="Garamond" w:cs="Arial"/>
                <w:b w:val="0"/>
                <w:color w:val="000000" w:themeColor="text1"/>
                <w:sz w:val="22"/>
                <w:szCs w:val="22"/>
                <w:lang w:val="es-ES"/>
              </w:rPr>
              <w:t>(84131600) Seguros de Vida, Salud</w:t>
            </w:r>
            <w:r w:rsidR="00F14D4C" w:rsidRPr="000113B8">
              <w:rPr>
                <w:rFonts w:ascii="Garamond" w:hAnsi="Garamond" w:cs="Arial"/>
                <w:b w:val="0"/>
                <w:color w:val="000000" w:themeColor="text1"/>
                <w:sz w:val="22"/>
                <w:szCs w:val="22"/>
                <w:lang w:val="es-ES"/>
              </w:rPr>
              <w:t>,</w:t>
            </w:r>
            <w:r w:rsidRPr="000113B8">
              <w:rPr>
                <w:rFonts w:ascii="Garamond" w:hAnsi="Garamond" w:cs="Arial"/>
                <w:b w:val="0"/>
                <w:color w:val="000000" w:themeColor="text1"/>
                <w:sz w:val="22"/>
                <w:szCs w:val="22"/>
                <w:lang w:val="es-ES"/>
              </w:rPr>
              <w:t xml:space="preserve"> Accidentes</w:t>
            </w:r>
          </w:p>
        </w:tc>
      </w:tr>
    </w:tbl>
    <w:p w14:paraId="671E69A4" w14:textId="049AFACA" w:rsidR="0048378A" w:rsidRPr="000113B8" w:rsidRDefault="00710D8E" w:rsidP="005C0FC2">
      <w:pPr>
        <w:jc w:val="center"/>
        <w:rPr>
          <w:rFonts w:ascii="Garamond" w:hAnsi="Garamond"/>
          <w:color w:val="000000" w:themeColor="text1"/>
        </w:rPr>
      </w:pPr>
      <w:r w:rsidRPr="000113B8">
        <w:rPr>
          <w:rFonts w:ascii="Garamond" w:hAnsi="Garamond"/>
          <w:color w:val="000000" w:themeColor="text1"/>
        </w:rPr>
        <w:t>Fuente: Elaboración propia</w:t>
      </w:r>
    </w:p>
    <w:p w14:paraId="29D426D8" w14:textId="77777777" w:rsidR="0066040D" w:rsidRPr="000113B8" w:rsidRDefault="0066040D" w:rsidP="0066040D">
      <w:pPr>
        <w:jc w:val="both"/>
        <w:rPr>
          <w:rFonts w:ascii="Garamond" w:hAnsi="Garamond"/>
          <w:color w:val="000000" w:themeColor="text1"/>
        </w:rPr>
      </w:pPr>
    </w:p>
    <w:p w14:paraId="46DC585A" w14:textId="7F8E2738" w:rsidR="00B3629C" w:rsidRPr="000113B8" w:rsidRDefault="0073440A" w:rsidP="0073440A">
      <w:pPr>
        <w:jc w:val="both"/>
        <w:rPr>
          <w:rFonts w:ascii="Garamond" w:hAnsi="Garamond"/>
          <w:color w:val="000000" w:themeColor="text1"/>
          <w:spacing w:val="-6"/>
        </w:rPr>
      </w:pPr>
      <w:r w:rsidRPr="000113B8">
        <w:rPr>
          <w:rFonts w:ascii="Garamond" w:hAnsi="Garamond"/>
          <w:color w:val="000000" w:themeColor="text1"/>
        </w:rPr>
        <w:t xml:space="preserve">La función de la compra pública está orientada a la satisfacción de las necesidades de las entidades </w:t>
      </w:r>
      <w:r w:rsidRPr="000113B8">
        <w:rPr>
          <w:rFonts w:ascii="Garamond" w:hAnsi="Garamond"/>
          <w:color w:val="000000" w:themeColor="text1"/>
          <w:spacing w:val="-4"/>
        </w:rPr>
        <w:t>estatales</w:t>
      </w:r>
      <w:r w:rsidRPr="000113B8">
        <w:rPr>
          <w:rFonts w:ascii="Garamond" w:hAnsi="Garamond"/>
          <w:color w:val="000000" w:themeColor="text1"/>
          <w:spacing w:val="-9"/>
        </w:rPr>
        <w:t xml:space="preserve"> </w:t>
      </w:r>
      <w:r w:rsidRPr="000113B8">
        <w:rPr>
          <w:rFonts w:ascii="Garamond" w:hAnsi="Garamond"/>
          <w:color w:val="000000" w:themeColor="text1"/>
          <w:spacing w:val="-4"/>
        </w:rPr>
        <w:t>en</w:t>
      </w:r>
      <w:r w:rsidRPr="000113B8">
        <w:rPr>
          <w:rFonts w:ascii="Garamond" w:hAnsi="Garamond"/>
          <w:color w:val="000000" w:themeColor="text1"/>
          <w:spacing w:val="-8"/>
        </w:rPr>
        <w:t xml:space="preserve"> </w:t>
      </w:r>
      <w:r w:rsidRPr="000113B8">
        <w:rPr>
          <w:rFonts w:ascii="Garamond" w:hAnsi="Garamond"/>
          <w:color w:val="000000" w:themeColor="text1"/>
          <w:spacing w:val="-4"/>
        </w:rPr>
        <w:t>marco</w:t>
      </w:r>
      <w:r w:rsidRPr="000113B8">
        <w:rPr>
          <w:rFonts w:ascii="Garamond" w:hAnsi="Garamond"/>
          <w:color w:val="000000" w:themeColor="text1"/>
          <w:spacing w:val="-8"/>
        </w:rPr>
        <w:t xml:space="preserve"> </w:t>
      </w:r>
      <w:r w:rsidRPr="000113B8">
        <w:rPr>
          <w:rFonts w:ascii="Garamond" w:hAnsi="Garamond"/>
          <w:color w:val="000000" w:themeColor="text1"/>
          <w:spacing w:val="-4"/>
        </w:rPr>
        <w:t>de</w:t>
      </w:r>
      <w:r w:rsidRPr="000113B8">
        <w:rPr>
          <w:rFonts w:ascii="Garamond" w:hAnsi="Garamond"/>
          <w:color w:val="000000" w:themeColor="text1"/>
          <w:spacing w:val="-9"/>
        </w:rPr>
        <w:t xml:space="preserve"> </w:t>
      </w:r>
      <w:r w:rsidRPr="000113B8">
        <w:rPr>
          <w:rFonts w:ascii="Garamond" w:hAnsi="Garamond"/>
          <w:color w:val="000000" w:themeColor="text1"/>
          <w:spacing w:val="-4"/>
        </w:rPr>
        <w:t>la</w:t>
      </w:r>
      <w:r w:rsidRPr="000113B8">
        <w:rPr>
          <w:rFonts w:ascii="Garamond" w:hAnsi="Garamond"/>
          <w:color w:val="000000" w:themeColor="text1"/>
          <w:spacing w:val="-9"/>
        </w:rPr>
        <w:t xml:space="preserve"> </w:t>
      </w:r>
      <w:r w:rsidRPr="000113B8">
        <w:rPr>
          <w:rFonts w:ascii="Garamond" w:hAnsi="Garamond"/>
          <w:color w:val="000000" w:themeColor="text1"/>
          <w:spacing w:val="-4"/>
        </w:rPr>
        <w:t>maximización</w:t>
      </w:r>
      <w:r w:rsidRPr="000113B8">
        <w:rPr>
          <w:rFonts w:ascii="Garamond" w:hAnsi="Garamond"/>
          <w:color w:val="000000" w:themeColor="text1"/>
          <w:spacing w:val="-8"/>
        </w:rPr>
        <w:t xml:space="preserve"> </w:t>
      </w:r>
      <w:r w:rsidRPr="000113B8">
        <w:rPr>
          <w:rFonts w:ascii="Garamond" w:hAnsi="Garamond"/>
          <w:color w:val="000000" w:themeColor="text1"/>
          <w:spacing w:val="-4"/>
        </w:rPr>
        <w:t>del</w:t>
      </w:r>
      <w:r w:rsidRPr="000113B8">
        <w:rPr>
          <w:rFonts w:ascii="Garamond" w:hAnsi="Garamond"/>
          <w:color w:val="000000" w:themeColor="text1"/>
          <w:spacing w:val="-6"/>
        </w:rPr>
        <w:t xml:space="preserve"> </w:t>
      </w:r>
      <w:r w:rsidRPr="000113B8">
        <w:rPr>
          <w:rFonts w:ascii="Garamond" w:hAnsi="Garamond"/>
          <w:color w:val="000000" w:themeColor="text1"/>
          <w:spacing w:val="-4"/>
        </w:rPr>
        <w:t>bienestar</w:t>
      </w:r>
      <w:r w:rsidRPr="000113B8">
        <w:rPr>
          <w:rFonts w:ascii="Garamond" w:hAnsi="Garamond"/>
          <w:color w:val="000000" w:themeColor="text1"/>
          <w:spacing w:val="-6"/>
        </w:rPr>
        <w:t xml:space="preserve"> </w:t>
      </w:r>
      <w:r w:rsidRPr="000113B8">
        <w:rPr>
          <w:rFonts w:ascii="Garamond" w:hAnsi="Garamond"/>
          <w:color w:val="000000" w:themeColor="text1"/>
          <w:spacing w:val="-4"/>
        </w:rPr>
        <w:t>a</w:t>
      </w:r>
      <w:r w:rsidRPr="000113B8">
        <w:rPr>
          <w:rFonts w:ascii="Garamond" w:hAnsi="Garamond"/>
          <w:color w:val="000000" w:themeColor="text1"/>
          <w:spacing w:val="-9"/>
        </w:rPr>
        <w:t xml:space="preserve"> </w:t>
      </w:r>
      <w:r w:rsidRPr="000113B8">
        <w:rPr>
          <w:rFonts w:ascii="Garamond" w:hAnsi="Garamond"/>
          <w:color w:val="000000" w:themeColor="text1"/>
          <w:spacing w:val="-4"/>
        </w:rPr>
        <w:t>través</w:t>
      </w:r>
      <w:r w:rsidRPr="000113B8">
        <w:rPr>
          <w:rFonts w:ascii="Garamond" w:hAnsi="Garamond"/>
          <w:color w:val="000000" w:themeColor="text1"/>
          <w:spacing w:val="-9"/>
        </w:rPr>
        <w:t xml:space="preserve"> </w:t>
      </w:r>
      <w:r w:rsidRPr="000113B8">
        <w:rPr>
          <w:rFonts w:ascii="Garamond" w:hAnsi="Garamond"/>
          <w:color w:val="000000" w:themeColor="text1"/>
          <w:spacing w:val="-4"/>
        </w:rPr>
        <w:t>del</w:t>
      </w:r>
      <w:r w:rsidRPr="000113B8">
        <w:rPr>
          <w:rFonts w:ascii="Garamond" w:hAnsi="Garamond"/>
          <w:color w:val="000000" w:themeColor="text1"/>
          <w:spacing w:val="-6"/>
        </w:rPr>
        <w:t xml:space="preserve"> </w:t>
      </w:r>
      <w:r w:rsidRPr="000113B8">
        <w:rPr>
          <w:rFonts w:ascii="Garamond" w:hAnsi="Garamond"/>
          <w:color w:val="000000" w:themeColor="text1"/>
          <w:spacing w:val="-4"/>
        </w:rPr>
        <w:t>gasto</w:t>
      </w:r>
      <w:r w:rsidRPr="000113B8">
        <w:rPr>
          <w:rFonts w:ascii="Garamond" w:hAnsi="Garamond"/>
          <w:color w:val="000000" w:themeColor="text1"/>
          <w:spacing w:val="-8"/>
        </w:rPr>
        <w:t xml:space="preserve"> </w:t>
      </w:r>
      <w:r w:rsidRPr="000113B8">
        <w:rPr>
          <w:rFonts w:ascii="Garamond" w:hAnsi="Garamond"/>
          <w:color w:val="000000" w:themeColor="text1"/>
          <w:spacing w:val="-4"/>
        </w:rPr>
        <w:t>público.</w:t>
      </w:r>
      <w:r w:rsidRPr="000113B8">
        <w:rPr>
          <w:rFonts w:ascii="Garamond" w:hAnsi="Garamond"/>
          <w:color w:val="000000" w:themeColor="text1"/>
          <w:spacing w:val="-6"/>
        </w:rPr>
        <w:t xml:space="preserve"> </w:t>
      </w:r>
      <w:r w:rsidRPr="000113B8">
        <w:rPr>
          <w:rFonts w:ascii="Garamond" w:hAnsi="Garamond"/>
          <w:color w:val="000000" w:themeColor="text1"/>
          <w:spacing w:val="-4"/>
        </w:rPr>
        <w:t>El</w:t>
      </w:r>
      <w:r w:rsidRPr="000113B8">
        <w:rPr>
          <w:rFonts w:ascii="Garamond" w:hAnsi="Garamond"/>
          <w:color w:val="000000" w:themeColor="text1"/>
          <w:spacing w:val="-8"/>
        </w:rPr>
        <w:t xml:space="preserve"> </w:t>
      </w:r>
      <w:r w:rsidRPr="000113B8">
        <w:rPr>
          <w:rFonts w:ascii="Garamond" w:hAnsi="Garamond"/>
          <w:color w:val="000000" w:themeColor="text1"/>
          <w:spacing w:val="-4"/>
        </w:rPr>
        <w:t>conocimiento</w:t>
      </w:r>
      <w:r w:rsidRPr="000113B8">
        <w:rPr>
          <w:rFonts w:ascii="Garamond" w:hAnsi="Garamond"/>
          <w:color w:val="000000" w:themeColor="text1"/>
          <w:spacing w:val="-8"/>
        </w:rPr>
        <w:t xml:space="preserve"> </w:t>
      </w:r>
      <w:r w:rsidRPr="000113B8">
        <w:rPr>
          <w:rFonts w:ascii="Garamond" w:hAnsi="Garamond"/>
          <w:color w:val="000000" w:themeColor="text1"/>
          <w:spacing w:val="-4"/>
        </w:rPr>
        <w:t>y</w:t>
      </w:r>
      <w:r w:rsidRPr="000113B8">
        <w:rPr>
          <w:rFonts w:ascii="Garamond" w:hAnsi="Garamond"/>
          <w:color w:val="000000" w:themeColor="text1"/>
          <w:spacing w:val="-6"/>
        </w:rPr>
        <w:t xml:space="preserve"> </w:t>
      </w:r>
      <w:r w:rsidRPr="000113B8">
        <w:rPr>
          <w:rFonts w:ascii="Garamond" w:hAnsi="Garamond"/>
          <w:color w:val="000000" w:themeColor="text1"/>
          <w:spacing w:val="-4"/>
        </w:rPr>
        <w:t xml:space="preserve">estudio </w:t>
      </w:r>
      <w:r w:rsidRPr="000113B8">
        <w:rPr>
          <w:rFonts w:ascii="Garamond" w:hAnsi="Garamond"/>
          <w:color w:val="000000" w:themeColor="text1"/>
        </w:rPr>
        <w:t xml:space="preserve">del sector económico relacionado al objeto de contratación permite al FDRS diseñar el proceso de </w:t>
      </w:r>
      <w:r w:rsidRPr="000113B8">
        <w:rPr>
          <w:rFonts w:ascii="Garamond" w:hAnsi="Garamond"/>
          <w:color w:val="000000" w:themeColor="text1"/>
          <w:spacing w:val="-6"/>
        </w:rPr>
        <w:t>selección con</w:t>
      </w:r>
      <w:r w:rsidRPr="000113B8">
        <w:rPr>
          <w:rFonts w:ascii="Garamond" w:hAnsi="Garamond"/>
          <w:color w:val="000000" w:themeColor="text1"/>
          <w:spacing w:val="-7"/>
        </w:rPr>
        <w:t xml:space="preserve"> </w:t>
      </w:r>
      <w:r w:rsidRPr="000113B8">
        <w:rPr>
          <w:rFonts w:ascii="Garamond" w:hAnsi="Garamond"/>
          <w:color w:val="000000" w:themeColor="text1"/>
          <w:spacing w:val="-6"/>
        </w:rPr>
        <w:t>la</w:t>
      </w:r>
      <w:r w:rsidRPr="000113B8">
        <w:rPr>
          <w:rFonts w:ascii="Garamond" w:hAnsi="Garamond"/>
          <w:color w:val="000000" w:themeColor="text1"/>
          <w:spacing w:val="-9"/>
        </w:rPr>
        <w:t xml:space="preserve"> </w:t>
      </w:r>
      <w:r w:rsidRPr="000113B8">
        <w:rPr>
          <w:rFonts w:ascii="Garamond" w:hAnsi="Garamond"/>
          <w:color w:val="000000" w:themeColor="text1"/>
          <w:spacing w:val="-6"/>
        </w:rPr>
        <w:t>información</w:t>
      </w:r>
      <w:r w:rsidRPr="000113B8">
        <w:rPr>
          <w:rFonts w:ascii="Garamond" w:hAnsi="Garamond"/>
          <w:color w:val="000000" w:themeColor="text1"/>
          <w:spacing w:val="-8"/>
        </w:rPr>
        <w:t xml:space="preserve"> </w:t>
      </w:r>
      <w:r w:rsidRPr="000113B8">
        <w:rPr>
          <w:rFonts w:ascii="Garamond" w:hAnsi="Garamond"/>
          <w:color w:val="000000" w:themeColor="text1"/>
          <w:spacing w:val="-6"/>
        </w:rPr>
        <w:t>necesaria</w:t>
      </w:r>
      <w:r w:rsidRPr="000113B8">
        <w:rPr>
          <w:rFonts w:ascii="Garamond" w:hAnsi="Garamond"/>
          <w:color w:val="000000" w:themeColor="text1"/>
          <w:spacing w:val="-9"/>
        </w:rPr>
        <w:t xml:space="preserve"> </w:t>
      </w:r>
      <w:r w:rsidRPr="000113B8">
        <w:rPr>
          <w:rFonts w:ascii="Garamond" w:hAnsi="Garamond"/>
          <w:color w:val="000000" w:themeColor="text1"/>
          <w:spacing w:val="-6"/>
        </w:rPr>
        <w:t>para</w:t>
      </w:r>
      <w:r w:rsidRPr="000113B8">
        <w:rPr>
          <w:rFonts w:ascii="Garamond" w:hAnsi="Garamond"/>
          <w:color w:val="000000" w:themeColor="text1"/>
          <w:spacing w:val="-7"/>
        </w:rPr>
        <w:t xml:space="preserve"> </w:t>
      </w:r>
      <w:r w:rsidRPr="000113B8">
        <w:rPr>
          <w:rFonts w:ascii="Garamond" w:hAnsi="Garamond"/>
          <w:color w:val="000000" w:themeColor="text1"/>
          <w:spacing w:val="-6"/>
        </w:rPr>
        <w:t>alcanzar</w:t>
      </w:r>
      <w:r w:rsidRPr="000113B8">
        <w:rPr>
          <w:rFonts w:ascii="Garamond" w:hAnsi="Garamond"/>
          <w:color w:val="000000" w:themeColor="text1"/>
          <w:spacing w:val="-7"/>
        </w:rPr>
        <w:t xml:space="preserve"> </w:t>
      </w:r>
      <w:r w:rsidRPr="000113B8">
        <w:rPr>
          <w:rFonts w:ascii="Garamond" w:hAnsi="Garamond"/>
          <w:color w:val="000000" w:themeColor="text1"/>
          <w:spacing w:val="-6"/>
        </w:rPr>
        <w:t>los</w:t>
      </w:r>
      <w:r w:rsidRPr="000113B8">
        <w:rPr>
          <w:rFonts w:ascii="Garamond" w:hAnsi="Garamond"/>
          <w:color w:val="000000" w:themeColor="text1"/>
          <w:spacing w:val="-10"/>
        </w:rPr>
        <w:t xml:space="preserve"> </w:t>
      </w:r>
      <w:r w:rsidRPr="000113B8">
        <w:rPr>
          <w:rFonts w:ascii="Garamond" w:hAnsi="Garamond"/>
          <w:color w:val="000000" w:themeColor="text1"/>
          <w:spacing w:val="-6"/>
        </w:rPr>
        <w:t>objetivos</w:t>
      </w:r>
      <w:r w:rsidRPr="000113B8">
        <w:rPr>
          <w:rFonts w:ascii="Garamond" w:hAnsi="Garamond"/>
          <w:color w:val="000000" w:themeColor="text1"/>
          <w:spacing w:val="-9"/>
        </w:rPr>
        <w:t xml:space="preserve"> </w:t>
      </w:r>
      <w:r w:rsidRPr="000113B8">
        <w:rPr>
          <w:rFonts w:ascii="Garamond" w:hAnsi="Garamond"/>
          <w:color w:val="000000" w:themeColor="text1"/>
          <w:spacing w:val="-6"/>
        </w:rPr>
        <w:t>de</w:t>
      </w:r>
      <w:r w:rsidRPr="000113B8">
        <w:rPr>
          <w:rFonts w:ascii="Garamond" w:hAnsi="Garamond"/>
          <w:color w:val="000000" w:themeColor="text1"/>
          <w:spacing w:val="-9"/>
        </w:rPr>
        <w:t xml:space="preserve"> </w:t>
      </w:r>
      <w:r w:rsidRPr="000113B8">
        <w:rPr>
          <w:rFonts w:ascii="Garamond" w:hAnsi="Garamond"/>
          <w:color w:val="000000" w:themeColor="text1"/>
          <w:spacing w:val="-6"/>
        </w:rPr>
        <w:t>i)</w:t>
      </w:r>
      <w:r w:rsidRPr="000113B8">
        <w:rPr>
          <w:rFonts w:ascii="Garamond" w:hAnsi="Garamond"/>
          <w:color w:val="000000" w:themeColor="text1"/>
          <w:spacing w:val="-8"/>
        </w:rPr>
        <w:t xml:space="preserve"> </w:t>
      </w:r>
      <w:r w:rsidRPr="000113B8">
        <w:rPr>
          <w:rFonts w:ascii="Garamond" w:hAnsi="Garamond"/>
          <w:color w:val="000000" w:themeColor="text1"/>
          <w:spacing w:val="-6"/>
        </w:rPr>
        <w:t xml:space="preserve">trasparencia, </w:t>
      </w:r>
      <w:proofErr w:type="spellStart"/>
      <w:r w:rsidRPr="000113B8">
        <w:rPr>
          <w:rFonts w:ascii="Garamond" w:hAnsi="Garamond"/>
          <w:color w:val="000000" w:themeColor="text1"/>
          <w:spacing w:val="-6"/>
        </w:rPr>
        <w:t>ii</w:t>
      </w:r>
      <w:proofErr w:type="spellEnd"/>
      <w:r w:rsidRPr="000113B8">
        <w:rPr>
          <w:rFonts w:ascii="Garamond" w:hAnsi="Garamond"/>
          <w:color w:val="000000" w:themeColor="text1"/>
          <w:spacing w:val="-6"/>
        </w:rPr>
        <w:t>)</w:t>
      </w:r>
      <w:r w:rsidRPr="000113B8">
        <w:rPr>
          <w:rFonts w:ascii="Garamond" w:hAnsi="Garamond"/>
          <w:color w:val="000000" w:themeColor="text1"/>
          <w:spacing w:val="-10"/>
        </w:rPr>
        <w:t xml:space="preserve"> </w:t>
      </w:r>
      <w:r w:rsidRPr="000113B8">
        <w:rPr>
          <w:rFonts w:ascii="Garamond" w:hAnsi="Garamond"/>
          <w:color w:val="000000" w:themeColor="text1"/>
          <w:spacing w:val="-6"/>
        </w:rPr>
        <w:t>eficiencia del gasto,</w:t>
      </w:r>
      <w:r w:rsidR="00710D8E" w:rsidRPr="000113B8">
        <w:rPr>
          <w:rFonts w:ascii="Garamond" w:hAnsi="Garamond"/>
          <w:color w:val="000000" w:themeColor="text1"/>
        </w:rPr>
        <w:t xml:space="preserve"> </w:t>
      </w:r>
      <w:proofErr w:type="spellStart"/>
      <w:r w:rsidR="00204EB4" w:rsidRPr="000113B8">
        <w:rPr>
          <w:rFonts w:ascii="Garamond" w:hAnsi="Garamond"/>
          <w:color w:val="000000" w:themeColor="text1"/>
          <w:spacing w:val="-6"/>
        </w:rPr>
        <w:t>iii</w:t>
      </w:r>
      <w:proofErr w:type="spellEnd"/>
      <w:r w:rsidR="00204EB4" w:rsidRPr="000113B8">
        <w:rPr>
          <w:rFonts w:ascii="Garamond" w:hAnsi="Garamond"/>
          <w:color w:val="000000" w:themeColor="text1"/>
          <w:spacing w:val="-6"/>
        </w:rPr>
        <w:t>)</w:t>
      </w:r>
      <w:r w:rsidR="00204EB4" w:rsidRPr="000113B8">
        <w:rPr>
          <w:rFonts w:ascii="Garamond" w:hAnsi="Garamond"/>
          <w:color w:val="000000" w:themeColor="text1"/>
          <w:spacing w:val="-4"/>
        </w:rPr>
        <w:t xml:space="preserve"> </w:t>
      </w:r>
      <w:r w:rsidR="00204EB4" w:rsidRPr="000113B8">
        <w:rPr>
          <w:rFonts w:ascii="Garamond" w:hAnsi="Garamond"/>
          <w:color w:val="000000" w:themeColor="text1"/>
          <w:spacing w:val="-6"/>
        </w:rPr>
        <w:t>promoción</w:t>
      </w:r>
      <w:r w:rsidR="00204EB4" w:rsidRPr="000113B8">
        <w:rPr>
          <w:rFonts w:ascii="Garamond" w:hAnsi="Garamond"/>
          <w:color w:val="000000" w:themeColor="text1"/>
          <w:spacing w:val="-3"/>
        </w:rPr>
        <w:t xml:space="preserve"> </w:t>
      </w:r>
      <w:r w:rsidR="00204EB4" w:rsidRPr="000113B8">
        <w:rPr>
          <w:rFonts w:ascii="Garamond" w:hAnsi="Garamond"/>
          <w:color w:val="000000" w:themeColor="text1"/>
          <w:spacing w:val="-6"/>
        </w:rPr>
        <w:t>de</w:t>
      </w:r>
      <w:r w:rsidR="00204EB4" w:rsidRPr="000113B8">
        <w:rPr>
          <w:rFonts w:ascii="Garamond" w:hAnsi="Garamond"/>
          <w:color w:val="000000" w:themeColor="text1"/>
          <w:spacing w:val="-4"/>
        </w:rPr>
        <w:t xml:space="preserve"> </w:t>
      </w:r>
      <w:r w:rsidR="00204EB4" w:rsidRPr="000113B8">
        <w:rPr>
          <w:rFonts w:ascii="Garamond" w:hAnsi="Garamond"/>
          <w:color w:val="000000" w:themeColor="text1"/>
          <w:spacing w:val="-6"/>
        </w:rPr>
        <w:t>la</w:t>
      </w:r>
      <w:r w:rsidR="00204EB4" w:rsidRPr="000113B8">
        <w:rPr>
          <w:rFonts w:ascii="Garamond" w:hAnsi="Garamond"/>
          <w:color w:val="000000" w:themeColor="text1"/>
          <w:spacing w:val="-4"/>
        </w:rPr>
        <w:t xml:space="preserve"> </w:t>
      </w:r>
      <w:r w:rsidR="00204EB4" w:rsidRPr="000113B8">
        <w:rPr>
          <w:rFonts w:ascii="Garamond" w:hAnsi="Garamond"/>
          <w:color w:val="000000" w:themeColor="text1"/>
          <w:spacing w:val="-6"/>
        </w:rPr>
        <w:t>competencia</w:t>
      </w:r>
      <w:r w:rsidR="00204EB4" w:rsidRPr="000113B8">
        <w:rPr>
          <w:rFonts w:ascii="Garamond" w:hAnsi="Garamond"/>
          <w:color w:val="000000" w:themeColor="text1"/>
        </w:rPr>
        <w:t xml:space="preserve"> </w:t>
      </w:r>
      <w:r w:rsidR="00204EB4" w:rsidRPr="000113B8">
        <w:rPr>
          <w:rFonts w:ascii="Garamond" w:hAnsi="Garamond"/>
          <w:color w:val="000000" w:themeColor="text1"/>
          <w:spacing w:val="-6"/>
        </w:rPr>
        <w:t xml:space="preserve">y </w:t>
      </w:r>
      <w:proofErr w:type="spellStart"/>
      <w:r w:rsidR="00204EB4" w:rsidRPr="000113B8">
        <w:rPr>
          <w:rFonts w:ascii="Garamond" w:hAnsi="Garamond"/>
          <w:color w:val="000000" w:themeColor="text1"/>
          <w:spacing w:val="-6"/>
        </w:rPr>
        <w:t>iv</w:t>
      </w:r>
      <w:proofErr w:type="spellEnd"/>
      <w:r w:rsidR="00204EB4" w:rsidRPr="000113B8">
        <w:rPr>
          <w:rFonts w:ascii="Garamond" w:hAnsi="Garamond"/>
          <w:color w:val="000000" w:themeColor="text1"/>
          <w:spacing w:val="-6"/>
        </w:rPr>
        <w:t>)</w:t>
      </w:r>
      <w:r w:rsidR="00204EB4" w:rsidRPr="000113B8">
        <w:rPr>
          <w:rFonts w:ascii="Garamond" w:hAnsi="Garamond"/>
          <w:color w:val="000000" w:themeColor="text1"/>
          <w:spacing w:val="-2"/>
        </w:rPr>
        <w:t xml:space="preserve"> </w:t>
      </w:r>
      <w:r w:rsidR="00204EB4" w:rsidRPr="000113B8">
        <w:rPr>
          <w:rFonts w:ascii="Garamond" w:hAnsi="Garamond"/>
          <w:color w:val="000000" w:themeColor="text1"/>
          <w:spacing w:val="-6"/>
        </w:rPr>
        <w:t>manejo</w:t>
      </w:r>
      <w:r w:rsidR="00204EB4" w:rsidRPr="000113B8">
        <w:rPr>
          <w:rFonts w:ascii="Garamond" w:hAnsi="Garamond"/>
          <w:color w:val="000000" w:themeColor="text1"/>
          <w:spacing w:val="-1"/>
        </w:rPr>
        <w:t xml:space="preserve"> </w:t>
      </w:r>
      <w:r w:rsidR="00204EB4" w:rsidRPr="000113B8">
        <w:rPr>
          <w:rFonts w:ascii="Garamond" w:hAnsi="Garamond"/>
          <w:color w:val="000000" w:themeColor="text1"/>
          <w:spacing w:val="-6"/>
        </w:rPr>
        <w:t>del</w:t>
      </w:r>
      <w:r w:rsidR="00204EB4" w:rsidRPr="000113B8">
        <w:rPr>
          <w:rFonts w:ascii="Garamond" w:hAnsi="Garamond"/>
          <w:color w:val="000000" w:themeColor="text1"/>
        </w:rPr>
        <w:t xml:space="preserve"> </w:t>
      </w:r>
      <w:r w:rsidR="00204EB4" w:rsidRPr="000113B8">
        <w:rPr>
          <w:rFonts w:ascii="Garamond" w:hAnsi="Garamond"/>
          <w:color w:val="000000" w:themeColor="text1"/>
          <w:spacing w:val="-6"/>
        </w:rPr>
        <w:t>riesgo.</w:t>
      </w:r>
    </w:p>
    <w:p w14:paraId="1C2882FD" w14:textId="77777777" w:rsidR="0012630F" w:rsidRPr="000113B8" w:rsidRDefault="0012630F" w:rsidP="0073440A">
      <w:pPr>
        <w:jc w:val="both"/>
        <w:rPr>
          <w:rFonts w:ascii="Garamond" w:hAnsi="Garamond"/>
          <w:color w:val="000000" w:themeColor="text1"/>
          <w:spacing w:val="-6"/>
        </w:rPr>
      </w:pPr>
    </w:p>
    <w:p w14:paraId="7B98F3BC" w14:textId="37078741" w:rsidR="0012630F" w:rsidRPr="000113B8" w:rsidRDefault="0012630F" w:rsidP="0012630F">
      <w:pPr>
        <w:jc w:val="both"/>
        <w:rPr>
          <w:rFonts w:ascii="Garamond" w:hAnsi="Garamond"/>
          <w:color w:val="000000" w:themeColor="text1"/>
          <w:spacing w:val="-6"/>
        </w:rPr>
      </w:pPr>
      <w:r w:rsidRPr="000113B8">
        <w:rPr>
          <w:rFonts w:ascii="Garamond" w:hAnsi="Garamond"/>
          <w:color w:val="000000" w:themeColor="text1"/>
          <w:spacing w:val="-6"/>
        </w:rPr>
        <w:t xml:space="preserve">En concordancia con lo anterior, la identificación y análisis de los códigos UNSPSC asociados al segmento 84 –Servicios de financieros y de seguros. En particular, se integran actividades de servicios de seguros de vida y accidentes, (841316. Seguros de Vida, </w:t>
      </w:r>
      <w:r w:rsidR="00901E8E" w:rsidRPr="000113B8">
        <w:rPr>
          <w:rFonts w:ascii="Garamond" w:hAnsi="Garamond"/>
          <w:color w:val="000000" w:themeColor="text1"/>
          <w:spacing w:val="-6"/>
        </w:rPr>
        <w:t>Salud</w:t>
      </w:r>
      <w:r w:rsidR="00996E69" w:rsidRPr="000113B8">
        <w:rPr>
          <w:rFonts w:ascii="Garamond" w:hAnsi="Garamond"/>
          <w:color w:val="000000" w:themeColor="text1"/>
          <w:spacing w:val="-6"/>
        </w:rPr>
        <w:t>,</w:t>
      </w:r>
      <w:r w:rsidRPr="000113B8">
        <w:rPr>
          <w:rFonts w:ascii="Garamond" w:hAnsi="Garamond"/>
          <w:color w:val="000000" w:themeColor="text1"/>
          <w:spacing w:val="-6"/>
        </w:rPr>
        <w:t xml:space="preserve"> Accidentes). </w:t>
      </w:r>
      <w:r w:rsidR="003516A3" w:rsidRPr="000113B8">
        <w:rPr>
          <w:rFonts w:ascii="Garamond" w:hAnsi="Garamond"/>
          <w:color w:val="000000" w:themeColor="text1"/>
          <w:spacing w:val="-6"/>
        </w:rPr>
        <w:t>Este segmento comprende la prestación de servicios orientados a la cobertura de riesgos asociados a la vida, la integridad física y la salud de las personas, los cuales son fundamentales para garantizar la protección del personal vinculado a las entidades públicas, así como de terceros en el desarrollo de actividades contractuales.</w:t>
      </w:r>
    </w:p>
    <w:p w14:paraId="35CB7E11" w14:textId="77777777" w:rsidR="0012630F" w:rsidRPr="000113B8" w:rsidRDefault="0012630F" w:rsidP="0012630F">
      <w:pPr>
        <w:jc w:val="both"/>
        <w:rPr>
          <w:rFonts w:ascii="Garamond" w:hAnsi="Garamond"/>
          <w:color w:val="000000" w:themeColor="text1"/>
          <w:spacing w:val="-6"/>
        </w:rPr>
      </w:pPr>
    </w:p>
    <w:p w14:paraId="098A4104" w14:textId="4DD54436" w:rsidR="00901E8E" w:rsidRPr="000113B8" w:rsidRDefault="00901E8E" w:rsidP="0012630F">
      <w:pPr>
        <w:jc w:val="both"/>
        <w:rPr>
          <w:rFonts w:ascii="Garamond" w:hAnsi="Garamond"/>
          <w:color w:val="000000" w:themeColor="text1"/>
          <w:spacing w:val="-6"/>
        </w:rPr>
      </w:pPr>
      <w:r w:rsidRPr="000113B8">
        <w:rPr>
          <w:rFonts w:ascii="Garamond" w:hAnsi="Garamond"/>
          <w:color w:val="000000" w:themeColor="text1"/>
          <w:spacing w:val="-6"/>
        </w:rPr>
        <w:t xml:space="preserve">La adecuada clasificación de las actividades no solo permite estructurar de manera precisa el objeto contractual, sino que también aporta elementos clave para la planeación del proceso. </w:t>
      </w:r>
    </w:p>
    <w:p w14:paraId="6EAE1377" w14:textId="272DB2C5" w:rsidR="003516A3" w:rsidRPr="000113B8" w:rsidRDefault="003516A3" w:rsidP="0012630F">
      <w:pPr>
        <w:jc w:val="both"/>
        <w:rPr>
          <w:rFonts w:ascii="Garamond" w:hAnsi="Garamond"/>
          <w:color w:val="000000" w:themeColor="text1"/>
          <w:spacing w:val="-6"/>
        </w:rPr>
      </w:pPr>
    </w:p>
    <w:p w14:paraId="1F2FF0D5" w14:textId="5CEE42B9" w:rsidR="003516A3" w:rsidRPr="000113B8" w:rsidRDefault="003516A3" w:rsidP="0012630F">
      <w:pPr>
        <w:jc w:val="both"/>
        <w:rPr>
          <w:rFonts w:ascii="Garamond" w:hAnsi="Garamond"/>
          <w:color w:val="000000" w:themeColor="text1"/>
          <w:spacing w:val="-6"/>
        </w:rPr>
      </w:pPr>
      <w:r w:rsidRPr="000113B8">
        <w:rPr>
          <w:rFonts w:ascii="Garamond" w:hAnsi="Garamond"/>
          <w:color w:val="000000" w:themeColor="text1"/>
          <w:spacing w:val="-6"/>
        </w:rPr>
        <w:t>Adicionalmente, el análisis del sector evidencia que el mercado de seguros de vida, salud</w:t>
      </w:r>
      <w:r w:rsidR="004E10CD" w:rsidRPr="000113B8">
        <w:rPr>
          <w:rFonts w:ascii="Garamond" w:hAnsi="Garamond"/>
          <w:color w:val="000000" w:themeColor="text1"/>
          <w:spacing w:val="-6"/>
        </w:rPr>
        <w:t>,</w:t>
      </w:r>
      <w:r w:rsidRPr="000113B8">
        <w:rPr>
          <w:rFonts w:ascii="Garamond" w:hAnsi="Garamond"/>
          <w:color w:val="000000" w:themeColor="text1"/>
          <w:spacing w:val="-6"/>
        </w:rPr>
        <w:t xml:space="preserve"> accidentes en Colombia se caracteriza por la presencia de múltiples aseguradoras vigiladas por la Superintendencia Financiera</w:t>
      </w:r>
      <w:r w:rsidR="004E10CD" w:rsidRPr="000113B8">
        <w:rPr>
          <w:rFonts w:ascii="Garamond" w:hAnsi="Garamond"/>
          <w:color w:val="000000" w:themeColor="text1"/>
          <w:spacing w:val="-6"/>
        </w:rPr>
        <w:t xml:space="preserve"> de Colombia</w:t>
      </w:r>
      <w:r w:rsidRPr="000113B8">
        <w:rPr>
          <w:rFonts w:ascii="Garamond" w:hAnsi="Garamond"/>
          <w:color w:val="000000" w:themeColor="text1"/>
          <w:spacing w:val="-6"/>
        </w:rPr>
        <w:t>, con productos estandarizados pero diferenciados en términos de coberturas, exclusiones, primas y servicios adicionales. Esto implica la necesidad de definir con claridad las condiciones técnicas del proceso, incluyendo amparos, valores asegurados, vigencias</w:t>
      </w:r>
      <w:r w:rsidR="00361C3A" w:rsidRPr="000113B8">
        <w:rPr>
          <w:rFonts w:ascii="Garamond" w:hAnsi="Garamond"/>
          <w:color w:val="000000" w:themeColor="text1"/>
          <w:spacing w:val="-6"/>
        </w:rPr>
        <w:t xml:space="preserve"> </w:t>
      </w:r>
      <w:r w:rsidRPr="000113B8">
        <w:rPr>
          <w:rFonts w:ascii="Garamond" w:hAnsi="Garamond"/>
          <w:color w:val="000000" w:themeColor="text1"/>
          <w:spacing w:val="-6"/>
        </w:rPr>
        <w:t>y requisitos habilitantes, con el fin de garantizar la adecuada comparación de ofertas.</w:t>
      </w:r>
    </w:p>
    <w:p w14:paraId="048BA080" w14:textId="77777777" w:rsidR="0012630F" w:rsidRPr="000113B8" w:rsidRDefault="0012630F" w:rsidP="0073440A">
      <w:pPr>
        <w:jc w:val="both"/>
        <w:rPr>
          <w:rFonts w:ascii="Garamond" w:hAnsi="Garamond"/>
          <w:color w:val="000000" w:themeColor="text1"/>
          <w:spacing w:val="-6"/>
        </w:rPr>
      </w:pPr>
    </w:p>
    <w:p w14:paraId="47DE7CEC" w14:textId="04959233" w:rsidR="003516A3" w:rsidRPr="000113B8" w:rsidRDefault="003516A3" w:rsidP="0073440A">
      <w:pPr>
        <w:jc w:val="both"/>
        <w:rPr>
          <w:rFonts w:ascii="Garamond" w:hAnsi="Garamond"/>
          <w:color w:val="000000" w:themeColor="text1"/>
        </w:rPr>
      </w:pPr>
      <w:r w:rsidRPr="000113B8">
        <w:rPr>
          <w:rFonts w:ascii="Garamond" w:hAnsi="Garamond"/>
          <w:color w:val="000000" w:themeColor="text1"/>
        </w:rPr>
        <w:t>En consecuencia, la correcta aplicación de estos criterios dentro del estudio de mercado y los documentos del proceso asegura una mayor coherencia entre la necesidad identificada, el objeto contractual y las dinámicas reales del sector. De esta manera, el Fondo de Desarrollo Rural de Sumapaz podrá estructurar procesos contractuales más eficientes, competitivos y alineados con los principios de la contratación pública, minimizando riesgos y asegurando la selección de la oferta más favorable.</w:t>
      </w:r>
    </w:p>
    <w:p w14:paraId="14935889" w14:textId="77777777" w:rsidR="00C41ABC" w:rsidRPr="000113B8" w:rsidRDefault="00C41ABC" w:rsidP="0073440A">
      <w:pPr>
        <w:jc w:val="both"/>
        <w:rPr>
          <w:rFonts w:ascii="Garamond" w:hAnsi="Garamond"/>
          <w:color w:val="000000" w:themeColor="text1"/>
        </w:rPr>
      </w:pPr>
    </w:p>
    <w:p w14:paraId="3DE94453" w14:textId="780E0A0C" w:rsidR="005C0FC2" w:rsidRPr="000113B8" w:rsidRDefault="00A502A1" w:rsidP="00C54B99">
      <w:pPr>
        <w:pStyle w:val="Prrafodelista"/>
        <w:numPr>
          <w:ilvl w:val="0"/>
          <w:numId w:val="2"/>
        </w:numPr>
        <w:rPr>
          <w:rFonts w:ascii="Garamond" w:hAnsi="Garamond" w:cs="Arial"/>
          <w:b/>
          <w:bCs/>
          <w:color w:val="000000" w:themeColor="text1"/>
          <w:lang w:val="es-CO"/>
        </w:rPr>
      </w:pPr>
      <w:bookmarkStart w:id="1" w:name="_Hlk212481995"/>
      <w:r w:rsidRPr="000113B8">
        <w:rPr>
          <w:rFonts w:ascii="Garamond" w:hAnsi="Garamond" w:cs="Arial"/>
          <w:b/>
          <w:bCs/>
          <w:color w:val="000000" w:themeColor="text1"/>
          <w:lang w:val="es-CO"/>
        </w:rPr>
        <w:t>CONTEXTO ECONÓMICO</w:t>
      </w:r>
    </w:p>
    <w:bookmarkEnd w:id="1"/>
    <w:p w14:paraId="5753EB4C" w14:textId="77777777" w:rsidR="009368B8" w:rsidRPr="000113B8" w:rsidRDefault="009368B8" w:rsidP="009368B8">
      <w:pPr>
        <w:contextualSpacing/>
        <w:jc w:val="both"/>
        <w:rPr>
          <w:rFonts w:ascii="Garamond" w:hAnsi="Garamond" w:cs="Arial"/>
          <w:b/>
          <w:bCs/>
          <w:color w:val="000000" w:themeColor="text1"/>
          <w:lang w:val="es-CO"/>
        </w:rPr>
      </w:pPr>
    </w:p>
    <w:p w14:paraId="2EAB7C19" w14:textId="77777777" w:rsidR="00C0220B" w:rsidRPr="000113B8" w:rsidRDefault="00C0220B" w:rsidP="00C0220B">
      <w:pPr>
        <w:jc w:val="both"/>
        <w:rPr>
          <w:rFonts w:ascii="Garamond" w:hAnsi="Garamond" w:cs="Arial"/>
          <w:color w:val="000000" w:themeColor="text1"/>
        </w:rPr>
      </w:pPr>
      <w:bookmarkStart w:id="2" w:name="_Hlk208779075"/>
      <w:bookmarkStart w:id="3" w:name="_Hlk208779306"/>
      <w:bookmarkStart w:id="4" w:name="_Hlk212486394"/>
      <w:bookmarkStart w:id="5" w:name="_Hlk211331616"/>
      <w:r w:rsidRPr="000113B8">
        <w:rPr>
          <w:rFonts w:ascii="Garamond" w:hAnsi="Garamond" w:cs="Arial"/>
          <w:color w:val="000000" w:themeColor="text1"/>
        </w:rPr>
        <w:lastRenderedPageBreak/>
        <w:t>La economía es un estudio que involucra la asignación, la producción y la distribución de los recursos económicos. Las naciones y los gobiernos prestan mucha atención a los indicadores económicos, ya que estos proporcionan información sobre la contracción o la expansión de una economía. Los indicadores principales son, por lo general, los indicadores económicos más importantes, estos proporcionan información actual que puede predecir los futuros cambios en la economía. Existen varios tipos de importantes indicadores destacados que son utilizados en una economía.</w:t>
      </w:r>
    </w:p>
    <w:p w14:paraId="03C49112" w14:textId="77777777" w:rsidR="00C0220B" w:rsidRPr="000113B8" w:rsidRDefault="00C0220B" w:rsidP="00C0220B">
      <w:pPr>
        <w:jc w:val="both"/>
        <w:rPr>
          <w:rFonts w:ascii="Garamond" w:hAnsi="Garamond" w:cs="Arial"/>
          <w:color w:val="000000" w:themeColor="text1"/>
        </w:rPr>
      </w:pPr>
    </w:p>
    <w:p w14:paraId="26FE05AE" w14:textId="77777777" w:rsidR="00C0220B" w:rsidRPr="000113B8" w:rsidRDefault="00C0220B" w:rsidP="00C0220B">
      <w:pPr>
        <w:contextualSpacing/>
        <w:jc w:val="both"/>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En ese orden de ideas, los patrones de demanda del consumidor están cambiando, razón por la cual, las cadenas de suministro globales están rediseñándose y en consecuencia la intervención de los gobiernos es cada vez más profunda y las empresas deben adaptarse continuamente a las nuevas e inciertas condiciones del mercado.</w:t>
      </w:r>
    </w:p>
    <w:p w14:paraId="7A2CA924" w14:textId="77777777" w:rsidR="00C0220B" w:rsidRPr="000113B8" w:rsidRDefault="00C0220B" w:rsidP="00C0220B">
      <w:pPr>
        <w:contextualSpacing/>
        <w:jc w:val="both"/>
        <w:rPr>
          <w:rFonts w:ascii="Garamond" w:eastAsia="Batang" w:hAnsi="Garamond" w:cs="Arial"/>
          <w:color w:val="000000" w:themeColor="text1"/>
          <w:lang w:val="es-ES_tradnl"/>
        </w:rPr>
      </w:pPr>
    </w:p>
    <w:p w14:paraId="1E61CE7B" w14:textId="77777777" w:rsidR="00C0220B" w:rsidRPr="000113B8" w:rsidRDefault="00C0220B" w:rsidP="00C0220B">
      <w:pPr>
        <w:ind w:right="57"/>
        <w:jc w:val="both"/>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 xml:space="preserve">En ese sentido, es de precisar que la actividad económica está dividida en sectores económicos y los cuales se refieren a una parte de la actividad económica cuyos elementos tienen características comunes, que guardan una unidad y se diferencian de otras agrupaciones. Esta división se realiza de acuerdo con los procesos de producción que ocurren al interior de cada uno de ellos. </w:t>
      </w:r>
    </w:p>
    <w:p w14:paraId="293AF6AA" w14:textId="77777777" w:rsidR="00C0220B" w:rsidRPr="000113B8" w:rsidRDefault="00C0220B" w:rsidP="00C0220B">
      <w:pPr>
        <w:ind w:right="57"/>
        <w:jc w:val="both"/>
        <w:rPr>
          <w:rFonts w:ascii="Garamond" w:eastAsia="Batang" w:hAnsi="Garamond" w:cs="Arial"/>
          <w:color w:val="000000" w:themeColor="text1"/>
          <w:lang w:val="es-ES_tradnl"/>
        </w:rPr>
      </w:pPr>
    </w:p>
    <w:p w14:paraId="56159127" w14:textId="724B7CD5" w:rsidR="00C0220B" w:rsidRPr="000113B8" w:rsidRDefault="00C0220B" w:rsidP="00C0220B">
      <w:pPr>
        <w:ind w:right="57"/>
        <w:jc w:val="both"/>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Según la división de la economía clásica, los sectores de la economía se dividen en tres (3), en donde el sector asegurador se encuentra inmerso en el sector terciario, como se muestra a continuación:</w:t>
      </w:r>
    </w:p>
    <w:p w14:paraId="146E6441" w14:textId="77777777" w:rsidR="00C0220B" w:rsidRPr="000113B8" w:rsidRDefault="00C0220B" w:rsidP="00C0220B">
      <w:pPr>
        <w:jc w:val="both"/>
        <w:rPr>
          <w:rFonts w:ascii="Garamond" w:hAnsi="Garamond" w:cs="Arial"/>
          <w:bCs/>
          <w:color w:val="000000" w:themeColor="text1"/>
          <w:lang w:val="es-ES_tradnl"/>
        </w:rPr>
      </w:pPr>
    </w:p>
    <w:tbl>
      <w:tblPr>
        <w:tblW w:w="0" w:type="auto"/>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2943"/>
        <w:gridCol w:w="2943"/>
        <w:gridCol w:w="2944"/>
      </w:tblGrid>
      <w:tr w:rsidR="009A7F8F" w:rsidRPr="000113B8" w14:paraId="17E49150" w14:textId="77777777" w:rsidTr="00EC7684">
        <w:trPr>
          <w:jc w:val="center"/>
        </w:trPr>
        <w:tc>
          <w:tcPr>
            <w:tcW w:w="2943" w:type="dxa"/>
            <w:vAlign w:val="center"/>
          </w:tcPr>
          <w:p w14:paraId="6A08D858" w14:textId="77777777" w:rsidR="00C0220B" w:rsidRPr="000113B8" w:rsidRDefault="00C0220B" w:rsidP="00EC7684">
            <w:pPr>
              <w:ind w:right="57"/>
              <w:jc w:val="center"/>
              <w:rPr>
                <w:rFonts w:ascii="Garamond" w:eastAsia="Batang" w:hAnsi="Garamond" w:cs="Arial"/>
                <w:b/>
                <w:bCs/>
                <w:color w:val="000000" w:themeColor="text1"/>
                <w:lang w:val="es-ES_tradnl"/>
              </w:rPr>
            </w:pPr>
            <w:r w:rsidRPr="000113B8">
              <w:rPr>
                <w:rFonts w:ascii="Garamond" w:eastAsia="Batang" w:hAnsi="Garamond" w:cs="Arial"/>
                <w:b/>
                <w:bCs/>
                <w:color w:val="000000" w:themeColor="text1"/>
                <w:lang w:val="es-ES_tradnl"/>
              </w:rPr>
              <w:t>SECTORES ECONÓMICOS</w:t>
            </w:r>
          </w:p>
        </w:tc>
        <w:tc>
          <w:tcPr>
            <w:tcW w:w="2943" w:type="dxa"/>
            <w:vAlign w:val="center"/>
          </w:tcPr>
          <w:p w14:paraId="706093CA" w14:textId="77777777" w:rsidR="00C0220B" w:rsidRPr="000113B8" w:rsidRDefault="00C0220B" w:rsidP="00EC7684">
            <w:pPr>
              <w:ind w:right="57"/>
              <w:jc w:val="center"/>
              <w:rPr>
                <w:rFonts w:ascii="Garamond" w:eastAsia="Batang" w:hAnsi="Garamond" w:cs="Arial"/>
                <w:b/>
                <w:bCs/>
                <w:color w:val="000000" w:themeColor="text1"/>
                <w:lang w:val="es-ES_tradnl"/>
              </w:rPr>
            </w:pPr>
            <w:r w:rsidRPr="000113B8">
              <w:rPr>
                <w:rFonts w:ascii="Garamond" w:eastAsia="Batang" w:hAnsi="Garamond" w:cs="Arial"/>
                <w:b/>
                <w:bCs/>
                <w:color w:val="000000" w:themeColor="text1"/>
                <w:lang w:val="es-ES_tradnl"/>
              </w:rPr>
              <w:t>DEFINICIÓN</w:t>
            </w:r>
          </w:p>
        </w:tc>
        <w:tc>
          <w:tcPr>
            <w:tcW w:w="2944" w:type="dxa"/>
            <w:vAlign w:val="center"/>
          </w:tcPr>
          <w:p w14:paraId="441294D5" w14:textId="77777777" w:rsidR="00C0220B" w:rsidRPr="000113B8" w:rsidRDefault="00C0220B" w:rsidP="00EC7684">
            <w:pPr>
              <w:ind w:right="57"/>
              <w:jc w:val="center"/>
              <w:rPr>
                <w:rFonts w:ascii="Garamond" w:eastAsia="Batang" w:hAnsi="Garamond" w:cs="Arial"/>
                <w:b/>
                <w:bCs/>
                <w:color w:val="000000" w:themeColor="text1"/>
                <w:lang w:val="es-ES_tradnl"/>
              </w:rPr>
            </w:pPr>
            <w:r w:rsidRPr="000113B8">
              <w:rPr>
                <w:rFonts w:ascii="Garamond" w:eastAsia="Batang" w:hAnsi="Garamond" w:cs="Arial"/>
                <w:b/>
                <w:bCs/>
                <w:color w:val="000000" w:themeColor="text1"/>
                <w:lang w:val="es-ES_tradnl"/>
              </w:rPr>
              <w:t>ACTIVIDADES DEL SECTOR</w:t>
            </w:r>
          </w:p>
        </w:tc>
      </w:tr>
      <w:tr w:rsidR="009A7F8F" w:rsidRPr="000113B8" w14:paraId="77E6F3EA" w14:textId="77777777" w:rsidTr="00EC7684">
        <w:trPr>
          <w:jc w:val="center"/>
        </w:trPr>
        <w:tc>
          <w:tcPr>
            <w:tcW w:w="2943" w:type="dxa"/>
            <w:shd w:val="clear" w:color="auto" w:fill="F2F2F2"/>
            <w:vAlign w:val="center"/>
          </w:tcPr>
          <w:p w14:paraId="208D7803" w14:textId="77777777" w:rsidR="00C0220B" w:rsidRPr="000113B8" w:rsidRDefault="00C0220B" w:rsidP="00EC7684">
            <w:pPr>
              <w:ind w:right="57"/>
              <w:jc w:val="both"/>
              <w:rPr>
                <w:rFonts w:ascii="Garamond" w:eastAsia="Batang" w:hAnsi="Garamond" w:cs="Arial"/>
                <w:b/>
                <w:bCs/>
                <w:color w:val="000000" w:themeColor="text1"/>
                <w:lang w:val="es-ES_tradnl"/>
              </w:rPr>
            </w:pPr>
            <w:r w:rsidRPr="000113B8">
              <w:rPr>
                <w:rFonts w:ascii="Garamond" w:eastAsia="Batang" w:hAnsi="Garamond" w:cs="Arial"/>
                <w:b/>
                <w:bCs/>
                <w:color w:val="000000" w:themeColor="text1"/>
                <w:lang w:val="es-ES_tradnl"/>
              </w:rPr>
              <w:t>SECTOR TERCIARIO O DE SERVICIOS</w:t>
            </w:r>
          </w:p>
        </w:tc>
        <w:tc>
          <w:tcPr>
            <w:tcW w:w="2943" w:type="dxa"/>
            <w:shd w:val="clear" w:color="auto" w:fill="F2F2F2"/>
            <w:vAlign w:val="center"/>
          </w:tcPr>
          <w:p w14:paraId="6E41CA2D" w14:textId="77777777" w:rsidR="00C0220B" w:rsidRPr="000113B8" w:rsidRDefault="00C0220B" w:rsidP="00EC7684">
            <w:pPr>
              <w:jc w:val="both"/>
              <w:rPr>
                <w:rFonts w:ascii="Garamond" w:eastAsia="Batang" w:hAnsi="Garamond" w:cs="Arial"/>
                <w:color w:val="000000" w:themeColor="text1"/>
              </w:rPr>
            </w:pPr>
            <w:r w:rsidRPr="000113B8">
              <w:rPr>
                <w:rFonts w:ascii="Garamond" w:eastAsia="Batang" w:hAnsi="Garamond" w:cs="Arial"/>
                <w:color w:val="000000" w:themeColor="text1"/>
              </w:rPr>
              <w:t>Incluye todas aquellas actividades que no producen una mercancía en sí, pero que son necesarias para el funcionamiento de la economía. Como ejemplos de ello tenemos el comercio, los restaurantes, los hoteles, el transporte, los servicios financieros, las comunicaciones, los servicios de educación, los servicios profesionales, el Gobierno, etc.</w:t>
            </w:r>
          </w:p>
          <w:p w14:paraId="6CF61E4D" w14:textId="77777777" w:rsidR="00C0220B" w:rsidRPr="000113B8" w:rsidRDefault="00C0220B" w:rsidP="00EC7684">
            <w:pPr>
              <w:ind w:right="57"/>
              <w:jc w:val="both"/>
              <w:rPr>
                <w:rFonts w:ascii="Garamond" w:eastAsia="Batang" w:hAnsi="Garamond" w:cs="Arial"/>
                <w:color w:val="000000" w:themeColor="text1"/>
              </w:rPr>
            </w:pPr>
          </w:p>
        </w:tc>
        <w:tc>
          <w:tcPr>
            <w:tcW w:w="2944" w:type="dxa"/>
            <w:shd w:val="clear" w:color="auto" w:fill="F2F2F2"/>
            <w:vAlign w:val="center"/>
          </w:tcPr>
          <w:p w14:paraId="38F556DA" w14:textId="77777777" w:rsidR="00C0220B" w:rsidRPr="000113B8" w:rsidRDefault="00C0220B" w:rsidP="00C54B99">
            <w:pPr>
              <w:pStyle w:val="Prrafodelista"/>
              <w:widowControl/>
              <w:numPr>
                <w:ilvl w:val="0"/>
                <w:numId w:val="16"/>
              </w:numPr>
              <w:autoSpaceDE/>
              <w:autoSpaceDN/>
              <w:spacing w:before="0"/>
              <w:ind w:right="57"/>
              <w:jc w:val="both"/>
              <w:rPr>
                <w:rFonts w:ascii="Garamond" w:eastAsia="Batang" w:hAnsi="Garamond" w:cs="Arial"/>
                <w:color w:val="000000" w:themeColor="text1"/>
              </w:rPr>
            </w:pPr>
            <w:r w:rsidRPr="000113B8">
              <w:rPr>
                <w:rFonts w:ascii="Garamond" w:eastAsia="Batang" w:hAnsi="Garamond" w:cs="Arial"/>
                <w:color w:val="000000" w:themeColor="text1"/>
              </w:rPr>
              <w:t>Sector Transporte</w:t>
            </w:r>
          </w:p>
          <w:p w14:paraId="3711ABCF" w14:textId="77777777" w:rsidR="00C0220B" w:rsidRPr="000113B8" w:rsidRDefault="00C0220B" w:rsidP="00C54B99">
            <w:pPr>
              <w:pStyle w:val="Prrafodelista"/>
              <w:widowControl/>
              <w:numPr>
                <w:ilvl w:val="0"/>
                <w:numId w:val="16"/>
              </w:numPr>
              <w:autoSpaceDE/>
              <w:autoSpaceDN/>
              <w:spacing w:before="0"/>
              <w:ind w:right="57"/>
              <w:jc w:val="both"/>
              <w:rPr>
                <w:rFonts w:ascii="Garamond" w:eastAsia="Batang" w:hAnsi="Garamond" w:cs="Arial"/>
                <w:color w:val="000000" w:themeColor="text1"/>
              </w:rPr>
            </w:pPr>
            <w:r w:rsidRPr="000113B8">
              <w:rPr>
                <w:rFonts w:ascii="Garamond" w:eastAsia="Batang" w:hAnsi="Garamond" w:cs="Arial"/>
                <w:color w:val="000000" w:themeColor="text1"/>
              </w:rPr>
              <w:t>Sector Comunicaciones</w:t>
            </w:r>
          </w:p>
          <w:p w14:paraId="3BF8EA08" w14:textId="77777777" w:rsidR="00C0220B" w:rsidRPr="000113B8" w:rsidRDefault="00C0220B" w:rsidP="00C54B99">
            <w:pPr>
              <w:pStyle w:val="Prrafodelista"/>
              <w:widowControl/>
              <w:numPr>
                <w:ilvl w:val="0"/>
                <w:numId w:val="16"/>
              </w:numPr>
              <w:autoSpaceDE/>
              <w:autoSpaceDN/>
              <w:spacing w:before="0"/>
              <w:ind w:right="57"/>
              <w:jc w:val="both"/>
              <w:rPr>
                <w:rFonts w:ascii="Garamond" w:eastAsia="Batang" w:hAnsi="Garamond" w:cs="Arial"/>
                <w:color w:val="000000" w:themeColor="text1"/>
              </w:rPr>
            </w:pPr>
            <w:r w:rsidRPr="000113B8">
              <w:rPr>
                <w:rFonts w:ascii="Garamond" w:eastAsia="Batang" w:hAnsi="Garamond" w:cs="Arial"/>
                <w:color w:val="000000" w:themeColor="text1"/>
              </w:rPr>
              <w:t>Sector Comercio, Restaurantes y Hoteles</w:t>
            </w:r>
          </w:p>
          <w:p w14:paraId="573719D5" w14:textId="77777777" w:rsidR="00C0220B" w:rsidRPr="000113B8" w:rsidRDefault="00C0220B" w:rsidP="00C54B99">
            <w:pPr>
              <w:pStyle w:val="Prrafodelista"/>
              <w:widowControl/>
              <w:numPr>
                <w:ilvl w:val="0"/>
                <w:numId w:val="16"/>
              </w:numPr>
              <w:autoSpaceDE/>
              <w:autoSpaceDN/>
              <w:spacing w:before="0"/>
              <w:ind w:right="57"/>
              <w:jc w:val="both"/>
              <w:rPr>
                <w:rFonts w:ascii="Garamond" w:eastAsia="Batang" w:hAnsi="Garamond" w:cs="Arial"/>
                <w:color w:val="000000" w:themeColor="text1"/>
              </w:rPr>
            </w:pPr>
            <w:r w:rsidRPr="000113B8">
              <w:rPr>
                <w:rFonts w:ascii="Garamond" w:eastAsia="Batang" w:hAnsi="Garamond" w:cs="Arial"/>
                <w:color w:val="000000" w:themeColor="text1"/>
              </w:rPr>
              <w:t>Sector Financiero</w:t>
            </w:r>
          </w:p>
        </w:tc>
      </w:tr>
    </w:tbl>
    <w:p w14:paraId="72285BA7" w14:textId="77777777" w:rsidR="00C0220B" w:rsidRPr="000113B8" w:rsidRDefault="00C0220B" w:rsidP="00C0220B">
      <w:pPr>
        <w:ind w:right="57"/>
        <w:jc w:val="center"/>
        <w:rPr>
          <w:rFonts w:ascii="Garamond" w:eastAsia="Batang" w:hAnsi="Garamond" w:cs="Arial"/>
          <w:bCs/>
          <w:color w:val="000000" w:themeColor="text1"/>
        </w:rPr>
      </w:pPr>
      <w:bookmarkStart w:id="6" w:name="_Hlk210184996"/>
      <w:r w:rsidRPr="000113B8">
        <w:rPr>
          <w:rFonts w:ascii="Garamond" w:eastAsia="Batang" w:hAnsi="Garamond" w:cs="Arial"/>
          <w:bCs/>
          <w:color w:val="000000" w:themeColor="text1"/>
        </w:rPr>
        <w:t>Fuente: Elaboración intermediario de seguros de la entidad JARGU S.A. CORREDORES DE SEGUROS</w:t>
      </w:r>
    </w:p>
    <w:bookmarkEnd w:id="6"/>
    <w:p w14:paraId="11511B6B" w14:textId="77777777" w:rsidR="00C0220B" w:rsidRPr="000113B8" w:rsidRDefault="00C0220B" w:rsidP="00C0220B">
      <w:pPr>
        <w:ind w:right="65"/>
        <w:rPr>
          <w:rFonts w:ascii="Garamond" w:eastAsia="Batang" w:hAnsi="Garamond" w:cs="Arial"/>
          <w:bCs/>
          <w:color w:val="000000" w:themeColor="text1"/>
        </w:rPr>
      </w:pPr>
    </w:p>
    <w:p w14:paraId="6F959430" w14:textId="77777777" w:rsidR="00C0220B" w:rsidRPr="000113B8" w:rsidRDefault="00C0220B" w:rsidP="00C54B99">
      <w:pPr>
        <w:pStyle w:val="Prrafodelista"/>
        <w:widowControl/>
        <w:numPr>
          <w:ilvl w:val="0"/>
          <w:numId w:val="17"/>
        </w:numPr>
        <w:autoSpaceDE/>
        <w:autoSpaceDN/>
        <w:spacing w:before="36" w:after="200"/>
        <w:ind w:right="65"/>
        <w:contextualSpacing/>
        <w:jc w:val="both"/>
        <w:rPr>
          <w:rFonts w:ascii="Garamond" w:hAnsi="Garamond" w:cs="Arial"/>
          <w:b/>
          <w:bCs/>
          <w:color w:val="000000" w:themeColor="text1"/>
        </w:rPr>
      </w:pPr>
      <w:r w:rsidRPr="000113B8">
        <w:rPr>
          <w:rFonts w:ascii="Garamond" w:hAnsi="Garamond" w:cs="Arial"/>
          <w:b/>
          <w:bCs/>
          <w:color w:val="000000" w:themeColor="text1"/>
        </w:rPr>
        <w:t>Sector Terciario o de Servicios</w:t>
      </w:r>
    </w:p>
    <w:p w14:paraId="5862D7BE" w14:textId="77777777" w:rsidR="00C0220B" w:rsidRPr="000113B8" w:rsidRDefault="00C0220B" w:rsidP="00C0220B">
      <w:pPr>
        <w:ind w:right="104"/>
        <w:contextualSpacing/>
        <w:jc w:val="both"/>
        <w:rPr>
          <w:rFonts w:ascii="Garamond" w:eastAsia="Arial Narrow" w:hAnsi="Garamond" w:cs="Arial"/>
          <w:color w:val="000000" w:themeColor="text1"/>
          <w:spacing w:val="-2"/>
          <w:lang w:val="es-ES_tradnl"/>
        </w:rPr>
      </w:pPr>
      <w:r w:rsidRPr="000113B8">
        <w:rPr>
          <w:rFonts w:ascii="Garamond" w:eastAsia="Arial Narrow" w:hAnsi="Garamond" w:cs="Arial"/>
          <w:color w:val="000000" w:themeColor="text1"/>
          <w:spacing w:val="-2"/>
          <w:lang w:val="es-ES_tradnl"/>
        </w:rPr>
        <w:t xml:space="preserve">El sector terciario es considerado como no productivo puesto que no produce bienes tangibles, pero, sin embargo, contribuye a la formación del ingreso nacional y del producto nacional. Aunque los sectores anteriormente indicados son aquellos que la teoría económica menciona como sectores de la economía, es común que las actividades económicas se diferencien aún más dependiendo de su especialización. </w:t>
      </w:r>
    </w:p>
    <w:p w14:paraId="62FB79D9" w14:textId="77777777" w:rsidR="00C0220B" w:rsidRPr="000113B8" w:rsidRDefault="00C0220B" w:rsidP="00C0220B">
      <w:pPr>
        <w:ind w:right="104"/>
        <w:contextualSpacing/>
        <w:jc w:val="both"/>
        <w:rPr>
          <w:rFonts w:ascii="Garamond" w:eastAsia="Arial Narrow" w:hAnsi="Garamond" w:cs="Arial"/>
          <w:color w:val="000000" w:themeColor="text1"/>
          <w:spacing w:val="-2"/>
          <w:lang w:val="es-ES_tradnl"/>
        </w:rPr>
      </w:pPr>
    </w:p>
    <w:p w14:paraId="647E7443" w14:textId="77777777" w:rsidR="00C0220B" w:rsidRPr="000113B8" w:rsidRDefault="00C0220B" w:rsidP="00C0220B">
      <w:pPr>
        <w:ind w:right="104"/>
        <w:contextualSpacing/>
        <w:jc w:val="both"/>
        <w:rPr>
          <w:rFonts w:ascii="Garamond" w:eastAsia="Arial Narrow" w:hAnsi="Garamond" w:cs="Arial"/>
          <w:color w:val="000000" w:themeColor="text1"/>
          <w:lang w:val="es-ES_tradnl"/>
        </w:rPr>
      </w:pPr>
      <w:r w:rsidRPr="000113B8">
        <w:rPr>
          <w:rFonts w:ascii="Garamond" w:eastAsia="Arial Narrow" w:hAnsi="Garamond" w:cs="Arial"/>
          <w:color w:val="000000" w:themeColor="text1"/>
          <w:spacing w:val="1"/>
          <w:lang w:val="es-ES_tradnl"/>
        </w:rPr>
        <w:t>Este sector in</w:t>
      </w:r>
      <w:r w:rsidRPr="000113B8">
        <w:rPr>
          <w:rFonts w:ascii="Garamond" w:eastAsia="Arial Narrow" w:hAnsi="Garamond" w:cs="Arial"/>
          <w:color w:val="000000" w:themeColor="text1"/>
          <w:lang w:val="es-ES_tradnl"/>
        </w:rPr>
        <w:t>cluye</w:t>
      </w:r>
      <w:r w:rsidRPr="000113B8">
        <w:rPr>
          <w:rFonts w:ascii="Garamond" w:eastAsia="Arial Narrow" w:hAnsi="Garamond" w:cs="Arial"/>
          <w:color w:val="000000" w:themeColor="text1"/>
          <w:spacing w:val="23"/>
          <w:lang w:val="es-ES_tradnl"/>
        </w:rPr>
        <w:t xml:space="preserve"> </w:t>
      </w:r>
      <w:r w:rsidRPr="000113B8">
        <w:rPr>
          <w:rFonts w:ascii="Garamond" w:eastAsia="Arial Narrow" w:hAnsi="Garamond" w:cs="Arial"/>
          <w:color w:val="000000" w:themeColor="text1"/>
          <w:lang w:val="es-ES_tradnl"/>
        </w:rPr>
        <w:t>t</w:t>
      </w:r>
      <w:r w:rsidRPr="000113B8">
        <w:rPr>
          <w:rFonts w:ascii="Garamond" w:eastAsia="Arial Narrow" w:hAnsi="Garamond" w:cs="Arial"/>
          <w:color w:val="000000" w:themeColor="text1"/>
          <w:spacing w:val="1"/>
          <w:lang w:val="es-ES_tradnl"/>
        </w:rPr>
        <w:t>oda</w:t>
      </w:r>
      <w:r w:rsidRPr="000113B8">
        <w:rPr>
          <w:rFonts w:ascii="Garamond" w:eastAsia="Arial Narrow" w:hAnsi="Garamond" w:cs="Arial"/>
          <w:color w:val="000000" w:themeColor="text1"/>
          <w:lang w:val="es-ES_tradnl"/>
        </w:rPr>
        <w:t>s</w:t>
      </w:r>
      <w:r w:rsidRPr="000113B8">
        <w:rPr>
          <w:rFonts w:ascii="Garamond" w:eastAsia="Arial Narrow" w:hAnsi="Garamond" w:cs="Arial"/>
          <w:color w:val="000000" w:themeColor="text1"/>
          <w:spacing w:val="22"/>
          <w:lang w:val="es-ES_tradnl"/>
        </w:rPr>
        <w:t xml:space="preserve"> </w:t>
      </w:r>
      <w:r w:rsidRPr="000113B8">
        <w:rPr>
          <w:rFonts w:ascii="Garamond" w:eastAsia="Arial Narrow" w:hAnsi="Garamond" w:cs="Arial"/>
          <w:color w:val="000000" w:themeColor="text1"/>
          <w:spacing w:val="1"/>
          <w:lang w:val="es-ES_tradnl"/>
        </w:rPr>
        <w:t>a</w:t>
      </w:r>
      <w:r w:rsidRPr="000113B8">
        <w:rPr>
          <w:rFonts w:ascii="Garamond" w:eastAsia="Arial Narrow" w:hAnsi="Garamond" w:cs="Arial"/>
          <w:color w:val="000000" w:themeColor="text1"/>
          <w:spacing w:val="-1"/>
          <w:lang w:val="es-ES_tradnl"/>
        </w:rPr>
        <w:t>q</w:t>
      </w:r>
      <w:r w:rsidRPr="000113B8">
        <w:rPr>
          <w:rFonts w:ascii="Garamond" w:eastAsia="Arial Narrow" w:hAnsi="Garamond" w:cs="Arial"/>
          <w:color w:val="000000" w:themeColor="text1"/>
          <w:spacing w:val="1"/>
          <w:lang w:val="es-ES_tradnl"/>
        </w:rPr>
        <w:t>ue</w:t>
      </w:r>
      <w:r w:rsidRPr="000113B8">
        <w:rPr>
          <w:rFonts w:ascii="Garamond" w:eastAsia="Arial Narrow" w:hAnsi="Garamond" w:cs="Arial"/>
          <w:color w:val="000000" w:themeColor="text1"/>
          <w:lang w:val="es-ES_tradnl"/>
        </w:rPr>
        <w:t>l</w:t>
      </w:r>
      <w:r w:rsidRPr="000113B8">
        <w:rPr>
          <w:rFonts w:ascii="Garamond" w:eastAsia="Arial Narrow" w:hAnsi="Garamond" w:cs="Arial"/>
          <w:color w:val="000000" w:themeColor="text1"/>
          <w:spacing w:val="-1"/>
          <w:lang w:val="es-ES_tradnl"/>
        </w:rPr>
        <w:t>l</w:t>
      </w:r>
      <w:r w:rsidRPr="000113B8">
        <w:rPr>
          <w:rFonts w:ascii="Garamond" w:eastAsia="Arial Narrow" w:hAnsi="Garamond" w:cs="Arial"/>
          <w:color w:val="000000" w:themeColor="text1"/>
          <w:spacing w:val="1"/>
          <w:lang w:val="es-ES_tradnl"/>
        </w:rPr>
        <w:t>a</w:t>
      </w:r>
      <w:r w:rsidRPr="000113B8">
        <w:rPr>
          <w:rFonts w:ascii="Garamond" w:eastAsia="Arial Narrow" w:hAnsi="Garamond" w:cs="Arial"/>
          <w:color w:val="000000" w:themeColor="text1"/>
          <w:lang w:val="es-ES_tradnl"/>
        </w:rPr>
        <w:t>s</w:t>
      </w:r>
      <w:r w:rsidRPr="000113B8">
        <w:rPr>
          <w:rFonts w:ascii="Garamond" w:eastAsia="Arial Narrow" w:hAnsi="Garamond" w:cs="Arial"/>
          <w:color w:val="000000" w:themeColor="text1"/>
          <w:spacing w:val="24"/>
          <w:lang w:val="es-ES_tradnl"/>
        </w:rPr>
        <w:t xml:space="preserve"> </w:t>
      </w:r>
      <w:r w:rsidRPr="000113B8">
        <w:rPr>
          <w:rFonts w:ascii="Garamond" w:eastAsia="Arial Narrow" w:hAnsi="Garamond" w:cs="Arial"/>
          <w:color w:val="000000" w:themeColor="text1"/>
          <w:spacing w:val="1"/>
          <w:lang w:val="es-ES_tradnl"/>
        </w:rPr>
        <w:t>a</w:t>
      </w:r>
      <w:r w:rsidRPr="000113B8">
        <w:rPr>
          <w:rFonts w:ascii="Garamond" w:eastAsia="Arial Narrow" w:hAnsi="Garamond" w:cs="Arial"/>
          <w:color w:val="000000" w:themeColor="text1"/>
          <w:spacing w:val="-2"/>
          <w:lang w:val="es-ES_tradnl"/>
        </w:rPr>
        <w:t>c</w:t>
      </w:r>
      <w:r w:rsidRPr="000113B8">
        <w:rPr>
          <w:rFonts w:ascii="Garamond" w:eastAsia="Arial Narrow" w:hAnsi="Garamond" w:cs="Arial"/>
          <w:color w:val="000000" w:themeColor="text1"/>
          <w:lang w:val="es-ES_tradnl"/>
        </w:rPr>
        <w:t>tivid</w:t>
      </w:r>
      <w:r w:rsidRPr="000113B8">
        <w:rPr>
          <w:rFonts w:ascii="Garamond" w:eastAsia="Arial Narrow" w:hAnsi="Garamond" w:cs="Arial"/>
          <w:color w:val="000000" w:themeColor="text1"/>
          <w:spacing w:val="1"/>
          <w:lang w:val="es-ES_tradnl"/>
        </w:rPr>
        <w:t>a</w:t>
      </w:r>
      <w:r w:rsidRPr="000113B8">
        <w:rPr>
          <w:rFonts w:ascii="Garamond" w:eastAsia="Arial Narrow" w:hAnsi="Garamond" w:cs="Arial"/>
          <w:color w:val="000000" w:themeColor="text1"/>
          <w:spacing w:val="-1"/>
          <w:lang w:val="es-ES_tradnl"/>
        </w:rPr>
        <w:t>d</w:t>
      </w:r>
      <w:r w:rsidRPr="000113B8">
        <w:rPr>
          <w:rFonts w:ascii="Garamond" w:eastAsia="Arial Narrow" w:hAnsi="Garamond" w:cs="Arial"/>
          <w:color w:val="000000" w:themeColor="text1"/>
          <w:spacing w:val="1"/>
          <w:lang w:val="es-ES_tradnl"/>
        </w:rPr>
        <w:t>e</w:t>
      </w:r>
      <w:r w:rsidRPr="000113B8">
        <w:rPr>
          <w:rFonts w:ascii="Garamond" w:eastAsia="Arial Narrow" w:hAnsi="Garamond" w:cs="Arial"/>
          <w:color w:val="000000" w:themeColor="text1"/>
          <w:lang w:val="es-ES_tradnl"/>
        </w:rPr>
        <w:t>s</w:t>
      </w:r>
      <w:r w:rsidRPr="000113B8">
        <w:rPr>
          <w:rFonts w:ascii="Garamond" w:eastAsia="Arial Narrow" w:hAnsi="Garamond" w:cs="Arial"/>
          <w:color w:val="000000" w:themeColor="text1"/>
          <w:spacing w:val="22"/>
          <w:lang w:val="es-ES_tradnl"/>
        </w:rPr>
        <w:t xml:space="preserve"> </w:t>
      </w:r>
      <w:r w:rsidRPr="000113B8">
        <w:rPr>
          <w:rFonts w:ascii="Garamond" w:eastAsia="Arial Narrow" w:hAnsi="Garamond" w:cs="Arial"/>
          <w:color w:val="000000" w:themeColor="text1"/>
          <w:spacing w:val="1"/>
          <w:lang w:val="es-ES_tradnl"/>
        </w:rPr>
        <w:t>qu</w:t>
      </w:r>
      <w:r w:rsidRPr="000113B8">
        <w:rPr>
          <w:rFonts w:ascii="Garamond" w:eastAsia="Arial Narrow" w:hAnsi="Garamond" w:cs="Arial"/>
          <w:color w:val="000000" w:themeColor="text1"/>
          <w:lang w:val="es-ES_tradnl"/>
        </w:rPr>
        <w:t>e</w:t>
      </w:r>
      <w:r w:rsidRPr="000113B8">
        <w:rPr>
          <w:rFonts w:ascii="Garamond" w:eastAsia="Arial Narrow" w:hAnsi="Garamond" w:cs="Arial"/>
          <w:color w:val="000000" w:themeColor="text1"/>
          <w:spacing w:val="23"/>
          <w:lang w:val="es-ES_tradnl"/>
        </w:rPr>
        <w:t xml:space="preserve"> </w:t>
      </w:r>
      <w:r w:rsidRPr="000113B8">
        <w:rPr>
          <w:rFonts w:ascii="Garamond" w:eastAsia="Arial Narrow" w:hAnsi="Garamond" w:cs="Arial"/>
          <w:color w:val="000000" w:themeColor="text1"/>
          <w:spacing w:val="1"/>
          <w:lang w:val="es-ES_tradnl"/>
        </w:rPr>
        <w:t>n</w:t>
      </w:r>
      <w:r w:rsidRPr="000113B8">
        <w:rPr>
          <w:rFonts w:ascii="Garamond" w:eastAsia="Arial Narrow" w:hAnsi="Garamond" w:cs="Arial"/>
          <w:color w:val="000000" w:themeColor="text1"/>
          <w:lang w:val="es-ES_tradnl"/>
        </w:rPr>
        <w:t>o</w:t>
      </w:r>
      <w:r w:rsidRPr="000113B8">
        <w:rPr>
          <w:rFonts w:ascii="Garamond" w:eastAsia="Arial Narrow" w:hAnsi="Garamond" w:cs="Arial"/>
          <w:color w:val="000000" w:themeColor="text1"/>
          <w:spacing w:val="23"/>
          <w:lang w:val="es-ES_tradnl"/>
        </w:rPr>
        <w:t xml:space="preserve"> </w:t>
      </w:r>
      <w:r w:rsidRPr="000113B8">
        <w:rPr>
          <w:rFonts w:ascii="Garamond" w:eastAsia="Arial Narrow" w:hAnsi="Garamond" w:cs="Arial"/>
          <w:color w:val="000000" w:themeColor="text1"/>
          <w:spacing w:val="1"/>
          <w:lang w:val="es-ES_tradnl"/>
        </w:rPr>
        <w:t>p</w:t>
      </w:r>
      <w:r w:rsidRPr="000113B8">
        <w:rPr>
          <w:rFonts w:ascii="Garamond" w:eastAsia="Arial Narrow" w:hAnsi="Garamond" w:cs="Arial"/>
          <w:color w:val="000000" w:themeColor="text1"/>
          <w:lang w:val="es-ES_tradnl"/>
        </w:rPr>
        <w:t>ro</w:t>
      </w:r>
      <w:r w:rsidRPr="000113B8">
        <w:rPr>
          <w:rFonts w:ascii="Garamond" w:eastAsia="Arial Narrow" w:hAnsi="Garamond" w:cs="Arial"/>
          <w:color w:val="000000" w:themeColor="text1"/>
          <w:spacing w:val="1"/>
          <w:lang w:val="es-ES_tradnl"/>
        </w:rPr>
        <w:t>du</w:t>
      </w:r>
      <w:r w:rsidRPr="000113B8">
        <w:rPr>
          <w:rFonts w:ascii="Garamond" w:eastAsia="Arial Narrow" w:hAnsi="Garamond" w:cs="Arial"/>
          <w:color w:val="000000" w:themeColor="text1"/>
          <w:spacing w:val="-2"/>
          <w:lang w:val="es-ES_tradnl"/>
        </w:rPr>
        <w:t>c</w:t>
      </w:r>
      <w:r w:rsidRPr="000113B8">
        <w:rPr>
          <w:rFonts w:ascii="Garamond" w:eastAsia="Arial Narrow" w:hAnsi="Garamond" w:cs="Arial"/>
          <w:color w:val="000000" w:themeColor="text1"/>
          <w:spacing w:val="1"/>
          <w:lang w:val="es-ES_tradnl"/>
        </w:rPr>
        <w:t>e</w:t>
      </w:r>
      <w:r w:rsidRPr="000113B8">
        <w:rPr>
          <w:rFonts w:ascii="Garamond" w:eastAsia="Arial Narrow" w:hAnsi="Garamond" w:cs="Arial"/>
          <w:color w:val="000000" w:themeColor="text1"/>
          <w:lang w:val="es-ES_tradnl"/>
        </w:rPr>
        <w:t>n</w:t>
      </w:r>
      <w:r w:rsidRPr="000113B8">
        <w:rPr>
          <w:rFonts w:ascii="Garamond" w:eastAsia="Arial Narrow" w:hAnsi="Garamond" w:cs="Arial"/>
          <w:color w:val="000000" w:themeColor="text1"/>
          <w:spacing w:val="23"/>
          <w:lang w:val="es-ES_tradnl"/>
        </w:rPr>
        <w:t xml:space="preserve"> </w:t>
      </w:r>
      <w:r w:rsidRPr="000113B8">
        <w:rPr>
          <w:rFonts w:ascii="Garamond" w:eastAsia="Arial Narrow" w:hAnsi="Garamond" w:cs="Arial"/>
          <w:color w:val="000000" w:themeColor="text1"/>
          <w:spacing w:val="1"/>
          <w:lang w:val="es-ES_tradnl"/>
        </w:rPr>
        <w:t>u</w:t>
      </w:r>
      <w:r w:rsidRPr="000113B8">
        <w:rPr>
          <w:rFonts w:ascii="Garamond" w:eastAsia="Arial Narrow" w:hAnsi="Garamond" w:cs="Arial"/>
          <w:color w:val="000000" w:themeColor="text1"/>
          <w:spacing w:val="-1"/>
          <w:lang w:val="es-ES_tradnl"/>
        </w:rPr>
        <w:t>n</w:t>
      </w:r>
      <w:r w:rsidRPr="000113B8">
        <w:rPr>
          <w:rFonts w:ascii="Garamond" w:eastAsia="Arial Narrow" w:hAnsi="Garamond" w:cs="Arial"/>
          <w:color w:val="000000" w:themeColor="text1"/>
          <w:lang w:val="es-ES_tradnl"/>
        </w:rPr>
        <w:t>a</w:t>
      </w:r>
      <w:r w:rsidRPr="000113B8">
        <w:rPr>
          <w:rFonts w:ascii="Garamond" w:eastAsia="Arial Narrow" w:hAnsi="Garamond" w:cs="Arial"/>
          <w:color w:val="000000" w:themeColor="text1"/>
          <w:spacing w:val="25"/>
          <w:lang w:val="es-ES_tradnl"/>
        </w:rPr>
        <w:t xml:space="preserve"> </w:t>
      </w:r>
      <w:r w:rsidRPr="000113B8">
        <w:rPr>
          <w:rFonts w:ascii="Garamond" w:eastAsia="Arial Narrow" w:hAnsi="Garamond" w:cs="Arial"/>
          <w:color w:val="000000" w:themeColor="text1"/>
          <w:spacing w:val="-1"/>
          <w:lang w:val="es-ES_tradnl"/>
        </w:rPr>
        <w:t>m</w:t>
      </w:r>
      <w:r w:rsidRPr="000113B8">
        <w:rPr>
          <w:rFonts w:ascii="Garamond" w:eastAsia="Arial Narrow" w:hAnsi="Garamond" w:cs="Arial"/>
          <w:color w:val="000000" w:themeColor="text1"/>
          <w:spacing w:val="1"/>
          <w:lang w:val="es-ES_tradnl"/>
        </w:rPr>
        <w:t>e</w:t>
      </w:r>
      <w:r w:rsidRPr="000113B8">
        <w:rPr>
          <w:rFonts w:ascii="Garamond" w:eastAsia="Arial Narrow" w:hAnsi="Garamond" w:cs="Arial"/>
          <w:color w:val="000000" w:themeColor="text1"/>
          <w:lang w:val="es-ES_tradnl"/>
        </w:rPr>
        <w:t>rca</w:t>
      </w:r>
      <w:r w:rsidRPr="000113B8">
        <w:rPr>
          <w:rFonts w:ascii="Garamond" w:eastAsia="Arial Narrow" w:hAnsi="Garamond" w:cs="Arial"/>
          <w:color w:val="000000" w:themeColor="text1"/>
          <w:spacing w:val="1"/>
          <w:lang w:val="es-ES_tradnl"/>
        </w:rPr>
        <w:t>n</w:t>
      </w:r>
      <w:r w:rsidRPr="000113B8">
        <w:rPr>
          <w:rFonts w:ascii="Garamond" w:eastAsia="Arial Narrow" w:hAnsi="Garamond" w:cs="Arial"/>
          <w:color w:val="000000" w:themeColor="text1"/>
          <w:lang w:val="es-ES_tradnl"/>
        </w:rPr>
        <w:t>cía</w:t>
      </w:r>
      <w:r w:rsidRPr="000113B8">
        <w:rPr>
          <w:rFonts w:ascii="Garamond" w:eastAsia="Arial Narrow" w:hAnsi="Garamond" w:cs="Arial"/>
          <w:color w:val="000000" w:themeColor="text1"/>
          <w:spacing w:val="23"/>
          <w:lang w:val="es-ES_tradnl"/>
        </w:rPr>
        <w:t xml:space="preserve"> </w:t>
      </w:r>
      <w:r w:rsidRPr="000113B8">
        <w:rPr>
          <w:rFonts w:ascii="Garamond" w:eastAsia="Arial Narrow" w:hAnsi="Garamond" w:cs="Arial"/>
          <w:color w:val="000000" w:themeColor="text1"/>
          <w:spacing w:val="1"/>
          <w:lang w:val="es-ES_tradnl"/>
        </w:rPr>
        <w:t>e</w:t>
      </w:r>
      <w:r w:rsidRPr="000113B8">
        <w:rPr>
          <w:rFonts w:ascii="Garamond" w:eastAsia="Arial Narrow" w:hAnsi="Garamond" w:cs="Arial"/>
          <w:color w:val="000000" w:themeColor="text1"/>
          <w:lang w:val="es-ES_tradnl"/>
        </w:rPr>
        <w:t>n</w:t>
      </w:r>
      <w:r w:rsidRPr="000113B8">
        <w:rPr>
          <w:rFonts w:ascii="Garamond" w:eastAsia="Arial Narrow" w:hAnsi="Garamond" w:cs="Arial"/>
          <w:color w:val="000000" w:themeColor="text1"/>
          <w:spacing w:val="25"/>
          <w:lang w:val="es-ES_tradnl"/>
        </w:rPr>
        <w:t xml:space="preserve"> </w:t>
      </w:r>
      <w:r w:rsidRPr="000113B8">
        <w:rPr>
          <w:rFonts w:ascii="Garamond" w:eastAsia="Arial Narrow" w:hAnsi="Garamond" w:cs="Arial"/>
          <w:color w:val="000000" w:themeColor="text1"/>
          <w:spacing w:val="-2"/>
          <w:lang w:val="es-ES_tradnl"/>
        </w:rPr>
        <w:t>s</w:t>
      </w:r>
      <w:r w:rsidRPr="000113B8">
        <w:rPr>
          <w:rFonts w:ascii="Garamond" w:eastAsia="Arial Narrow" w:hAnsi="Garamond" w:cs="Arial"/>
          <w:color w:val="000000" w:themeColor="text1"/>
          <w:lang w:val="es-ES_tradnl"/>
        </w:rPr>
        <w:t>í,</w:t>
      </w:r>
      <w:r w:rsidRPr="000113B8">
        <w:rPr>
          <w:rFonts w:ascii="Garamond" w:eastAsia="Arial Narrow" w:hAnsi="Garamond" w:cs="Arial"/>
          <w:color w:val="000000" w:themeColor="text1"/>
          <w:spacing w:val="25"/>
          <w:lang w:val="es-ES_tradnl"/>
        </w:rPr>
        <w:t xml:space="preserve"> </w:t>
      </w:r>
      <w:r w:rsidRPr="000113B8">
        <w:rPr>
          <w:rFonts w:ascii="Garamond" w:eastAsia="Arial Narrow" w:hAnsi="Garamond" w:cs="Arial"/>
          <w:color w:val="000000" w:themeColor="text1"/>
          <w:spacing w:val="-1"/>
          <w:lang w:val="es-ES_tradnl"/>
        </w:rPr>
        <w:t>p</w:t>
      </w:r>
      <w:r w:rsidRPr="000113B8">
        <w:rPr>
          <w:rFonts w:ascii="Garamond" w:eastAsia="Arial Narrow" w:hAnsi="Garamond" w:cs="Arial"/>
          <w:color w:val="000000" w:themeColor="text1"/>
          <w:spacing w:val="1"/>
          <w:lang w:val="es-ES_tradnl"/>
        </w:rPr>
        <w:t>e</w:t>
      </w:r>
      <w:r w:rsidRPr="000113B8">
        <w:rPr>
          <w:rFonts w:ascii="Garamond" w:eastAsia="Arial Narrow" w:hAnsi="Garamond" w:cs="Arial"/>
          <w:color w:val="000000" w:themeColor="text1"/>
          <w:spacing w:val="-3"/>
          <w:lang w:val="es-ES_tradnl"/>
        </w:rPr>
        <w:t>r</w:t>
      </w:r>
      <w:r w:rsidRPr="000113B8">
        <w:rPr>
          <w:rFonts w:ascii="Garamond" w:eastAsia="Arial Narrow" w:hAnsi="Garamond" w:cs="Arial"/>
          <w:color w:val="000000" w:themeColor="text1"/>
          <w:lang w:val="es-ES_tradnl"/>
        </w:rPr>
        <w:t xml:space="preserve">o </w:t>
      </w:r>
      <w:r w:rsidRPr="000113B8">
        <w:rPr>
          <w:rFonts w:ascii="Garamond" w:eastAsia="Arial Narrow" w:hAnsi="Garamond" w:cs="Arial"/>
          <w:color w:val="000000" w:themeColor="text1"/>
          <w:spacing w:val="1"/>
          <w:lang w:val="es-ES_tradnl"/>
        </w:rPr>
        <w:t>qu</w:t>
      </w:r>
      <w:r w:rsidRPr="000113B8">
        <w:rPr>
          <w:rFonts w:ascii="Garamond" w:eastAsia="Arial Narrow" w:hAnsi="Garamond" w:cs="Arial"/>
          <w:color w:val="000000" w:themeColor="text1"/>
          <w:lang w:val="es-ES_tradnl"/>
        </w:rPr>
        <w:t>e</w:t>
      </w:r>
      <w:r w:rsidRPr="000113B8">
        <w:rPr>
          <w:rFonts w:ascii="Garamond" w:eastAsia="Arial Narrow" w:hAnsi="Garamond" w:cs="Arial"/>
          <w:color w:val="000000" w:themeColor="text1"/>
          <w:spacing w:val="3"/>
          <w:lang w:val="es-ES_tradnl"/>
        </w:rPr>
        <w:t xml:space="preserve"> </w:t>
      </w:r>
      <w:r w:rsidRPr="000113B8">
        <w:rPr>
          <w:rFonts w:ascii="Garamond" w:eastAsia="Arial Narrow" w:hAnsi="Garamond" w:cs="Arial"/>
          <w:color w:val="000000" w:themeColor="text1"/>
          <w:lang w:val="es-ES_tradnl"/>
        </w:rPr>
        <w:t>s</w:t>
      </w:r>
      <w:r w:rsidRPr="000113B8">
        <w:rPr>
          <w:rFonts w:ascii="Garamond" w:eastAsia="Arial Narrow" w:hAnsi="Garamond" w:cs="Arial"/>
          <w:color w:val="000000" w:themeColor="text1"/>
          <w:spacing w:val="-1"/>
          <w:lang w:val="es-ES_tradnl"/>
        </w:rPr>
        <w:t>o</w:t>
      </w:r>
      <w:r w:rsidRPr="000113B8">
        <w:rPr>
          <w:rFonts w:ascii="Garamond" w:eastAsia="Arial Narrow" w:hAnsi="Garamond" w:cs="Arial"/>
          <w:color w:val="000000" w:themeColor="text1"/>
          <w:lang w:val="es-ES_tradnl"/>
        </w:rPr>
        <w:t>n</w:t>
      </w:r>
      <w:r w:rsidRPr="000113B8">
        <w:rPr>
          <w:rFonts w:ascii="Garamond" w:eastAsia="Arial Narrow" w:hAnsi="Garamond" w:cs="Arial"/>
          <w:color w:val="000000" w:themeColor="text1"/>
          <w:spacing w:val="3"/>
          <w:lang w:val="es-ES_tradnl"/>
        </w:rPr>
        <w:t xml:space="preserve"> </w:t>
      </w:r>
      <w:r w:rsidRPr="000113B8">
        <w:rPr>
          <w:rFonts w:ascii="Garamond" w:eastAsia="Arial Narrow" w:hAnsi="Garamond" w:cs="Arial"/>
          <w:color w:val="000000" w:themeColor="text1"/>
          <w:spacing w:val="1"/>
          <w:lang w:val="es-ES_tradnl"/>
        </w:rPr>
        <w:t>ne</w:t>
      </w:r>
      <w:r w:rsidRPr="000113B8">
        <w:rPr>
          <w:rFonts w:ascii="Garamond" w:eastAsia="Arial Narrow" w:hAnsi="Garamond" w:cs="Arial"/>
          <w:color w:val="000000" w:themeColor="text1"/>
          <w:lang w:val="es-ES_tradnl"/>
        </w:rPr>
        <w:t>c</w:t>
      </w:r>
      <w:r w:rsidRPr="000113B8">
        <w:rPr>
          <w:rFonts w:ascii="Garamond" w:eastAsia="Arial Narrow" w:hAnsi="Garamond" w:cs="Arial"/>
          <w:color w:val="000000" w:themeColor="text1"/>
          <w:spacing w:val="1"/>
          <w:lang w:val="es-ES_tradnl"/>
        </w:rPr>
        <w:t>e</w:t>
      </w:r>
      <w:r w:rsidRPr="000113B8">
        <w:rPr>
          <w:rFonts w:ascii="Garamond" w:eastAsia="Arial Narrow" w:hAnsi="Garamond" w:cs="Arial"/>
          <w:color w:val="000000" w:themeColor="text1"/>
          <w:spacing w:val="-2"/>
          <w:lang w:val="es-ES_tradnl"/>
        </w:rPr>
        <w:t>s</w:t>
      </w:r>
      <w:r w:rsidRPr="000113B8">
        <w:rPr>
          <w:rFonts w:ascii="Garamond" w:eastAsia="Arial Narrow" w:hAnsi="Garamond" w:cs="Arial"/>
          <w:color w:val="000000" w:themeColor="text1"/>
          <w:spacing w:val="1"/>
          <w:lang w:val="es-ES_tradnl"/>
        </w:rPr>
        <w:t>a</w:t>
      </w:r>
      <w:r w:rsidRPr="000113B8">
        <w:rPr>
          <w:rFonts w:ascii="Garamond" w:eastAsia="Arial Narrow" w:hAnsi="Garamond" w:cs="Arial"/>
          <w:color w:val="000000" w:themeColor="text1"/>
          <w:lang w:val="es-ES_tradnl"/>
        </w:rPr>
        <w:t>r</w:t>
      </w:r>
      <w:r w:rsidRPr="000113B8">
        <w:rPr>
          <w:rFonts w:ascii="Garamond" w:eastAsia="Arial Narrow" w:hAnsi="Garamond" w:cs="Arial"/>
          <w:color w:val="000000" w:themeColor="text1"/>
          <w:spacing w:val="-1"/>
          <w:lang w:val="es-ES_tradnl"/>
        </w:rPr>
        <w:t>i</w:t>
      </w:r>
      <w:r w:rsidRPr="000113B8">
        <w:rPr>
          <w:rFonts w:ascii="Garamond" w:eastAsia="Arial Narrow" w:hAnsi="Garamond" w:cs="Arial"/>
          <w:color w:val="000000" w:themeColor="text1"/>
          <w:spacing w:val="1"/>
          <w:lang w:val="es-ES_tradnl"/>
        </w:rPr>
        <w:t>a</w:t>
      </w:r>
      <w:r w:rsidRPr="000113B8">
        <w:rPr>
          <w:rFonts w:ascii="Garamond" w:eastAsia="Arial Narrow" w:hAnsi="Garamond" w:cs="Arial"/>
          <w:color w:val="000000" w:themeColor="text1"/>
          <w:lang w:val="es-ES_tradnl"/>
        </w:rPr>
        <w:t>s</w:t>
      </w:r>
      <w:r w:rsidRPr="000113B8">
        <w:rPr>
          <w:rFonts w:ascii="Garamond" w:eastAsia="Arial Narrow" w:hAnsi="Garamond" w:cs="Arial"/>
          <w:color w:val="000000" w:themeColor="text1"/>
          <w:spacing w:val="2"/>
          <w:lang w:val="es-ES_tradnl"/>
        </w:rPr>
        <w:t xml:space="preserve"> </w:t>
      </w:r>
      <w:r w:rsidRPr="000113B8">
        <w:rPr>
          <w:rFonts w:ascii="Garamond" w:eastAsia="Arial Narrow" w:hAnsi="Garamond" w:cs="Arial"/>
          <w:color w:val="000000" w:themeColor="text1"/>
          <w:spacing w:val="1"/>
          <w:lang w:val="es-ES_tradnl"/>
        </w:rPr>
        <w:t>pa</w:t>
      </w:r>
      <w:r w:rsidRPr="000113B8">
        <w:rPr>
          <w:rFonts w:ascii="Garamond" w:eastAsia="Arial Narrow" w:hAnsi="Garamond" w:cs="Arial"/>
          <w:color w:val="000000" w:themeColor="text1"/>
          <w:lang w:val="es-ES_tradnl"/>
        </w:rPr>
        <w:t xml:space="preserve">ra </w:t>
      </w:r>
      <w:r w:rsidRPr="000113B8">
        <w:rPr>
          <w:rFonts w:ascii="Garamond" w:eastAsia="Arial Narrow" w:hAnsi="Garamond" w:cs="Arial"/>
          <w:color w:val="000000" w:themeColor="text1"/>
          <w:spacing w:val="1"/>
          <w:lang w:val="es-ES_tradnl"/>
        </w:rPr>
        <w:t>e</w:t>
      </w:r>
      <w:r w:rsidRPr="000113B8">
        <w:rPr>
          <w:rFonts w:ascii="Garamond" w:eastAsia="Arial Narrow" w:hAnsi="Garamond" w:cs="Arial"/>
          <w:color w:val="000000" w:themeColor="text1"/>
          <w:lang w:val="es-ES_tradnl"/>
        </w:rPr>
        <w:t>l</w:t>
      </w:r>
      <w:r w:rsidRPr="000113B8">
        <w:rPr>
          <w:rFonts w:ascii="Garamond" w:eastAsia="Arial Narrow" w:hAnsi="Garamond" w:cs="Arial"/>
          <w:color w:val="000000" w:themeColor="text1"/>
          <w:spacing w:val="1"/>
          <w:lang w:val="es-ES_tradnl"/>
        </w:rPr>
        <w:t xml:space="preserve"> </w:t>
      </w:r>
      <w:r w:rsidRPr="000113B8">
        <w:rPr>
          <w:rFonts w:ascii="Garamond" w:eastAsia="Arial Narrow" w:hAnsi="Garamond" w:cs="Arial"/>
          <w:color w:val="000000" w:themeColor="text1"/>
          <w:spacing w:val="5"/>
          <w:lang w:val="es-ES_tradnl"/>
        </w:rPr>
        <w:t>f</w:t>
      </w:r>
      <w:r w:rsidRPr="000113B8">
        <w:rPr>
          <w:rFonts w:ascii="Garamond" w:eastAsia="Arial Narrow" w:hAnsi="Garamond" w:cs="Arial"/>
          <w:color w:val="000000" w:themeColor="text1"/>
          <w:spacing w:val="1"/>
          <w:lang w:val="es-ES_tradnl"/>
        </w:rPr>
        <w:t>un</w:t>
      </w:r>
      <w:r w:rsidRPr="000113B8">
        <w:rPr>
          <w:rFonts w:ascii="Garamond" w:eastAsia="Arial Narrow" w:hAnsi="Garamond" w:cs="Arial"/>
          <w:color w:val="000000" w:themeColor="text1"/>
          <w:lang w:val="es-ES_tradnl"/>
        </w:rPr>
        <w:t>cio</w:t>
      </w:r>
      <w:r w:rsidRPr="000113B8">
        <w:rPr>
          <w:rFonts w:ascii="Garamond" w:eastAsia="Arial Narrow" w:hAnsi="Garamond" w:cs="Arial"/>
          <w:color w:val="000000" w:themeColor="text1"/>
          <w:spacing w:val="-1"/>
          <w:lang w:val="es-ES_tradnl"/>
        </w:rPr>
        <w:t>n</w:t>
      </w:r>
      <w:r w:rsidRPr="000113B8">
        <w:rPr>
          <w:rFonts w:ascii="Garamond" w:eastAsia="Arial Narrow" w:hAnsi="Garamond" w:cs="Arial"/>
          <w:color w:val="000000" w:themeColor="text1"/>
          <w:spacing w:val="1"/>
          <w:lang w:val="es-ES_tradnl"/>
        </w:rPr>
        <w:t>a</w:t>
      </w:r>
      <w:r w:rsidRPr="000113B8">
        <w:rPr>
          <w:rFonts w:ascii="Garamond" w:eastAsia="Arial Narrow" w:hAnsi="Garamond" w:cs="Arial"/>
          <w:color w:val="000000" w:themeColor="text1"/>
          <w:spacing w:val="-1"/>
          <w:lang w:val="es-ES_tradnl"/>
        </w:rPr>
        <w:t>m</w:t>
      </w:r>
      <w:r w:rsidRPr="000113B8">
        <w:rPr>
          <w:rFonts w:ascii="Garamond" w:eastAsia="Arial Narrow" w:hAnsi="Garamond" w:cs="Arial"/>
          <w:color w:val="000000" w:themeColor="text1"/>
          <w:lang w:val="es-ES_tradnl"/>
        </w:rPr>
        <w:t>ie</w:t>
      </w:r>
      <w:r w:rsidRPr="000113B8">
        <w:rPr>
          <w:rFonts w:ascii="Garamond" w:eastAsia="Arial Narrow" w:hAnsi="Garamond" w:cs="Arial"/>
          <w:color w:val="000000" w:themeColor="text1"/>
          <w:spacing w:val="1"/>
          <w:lang w:val="es-ES_tradnl"/>
        </w:rPr>
        <w:t>n</w:t>
      </w:r>
      <w:r w:rsidRPr="000113B8">
        <w:rPr>
          <w:rFonts w:ascii="Garamond" w:eastAsia="Arial Narrow" w:hAnsi="Garamond" w:cs="Arial"/>
          <w:color w:val="000000" w:themeColor="text1"/>
          <w:spacing w:val="-2"/>
          <w:lang w:val="es-ES_tradnl"/>
        </w:rPr>
        <w:t>t</w:t>
      </w:r>
      <w:r w:rsidRPr="000113B8">
        <w:rPr>
          <w:rFonts w:ascii="Garamond" w:eastAsia="Arial Narrow" w:hAnsi="Garamond" w:cs="Arial"/>
          <w:color w:val="000000" w:themeColor="text1"/>
          <w:lang w:val="es-ES_tradnl"/>
        </w:rPr>
        <w:t>o</w:t>
      </w:r>
      <w:r w:rsidRPr="000113B8">
        <w:rPr>
          <w:rFonts w:ascii="Garamond" w:eastAsia="Arial Narrow" w:hAnsi="Garamond" w:cs="Arial"/>
          <w:color w:val="000000" w:themeColor="text1"/>
          <w:spacing w:val="3"/>
          <w:lang w:val="es-ES_tradnl"/>
        </w:rPr>
        <w:t xml:space="preserve"> </w:t>
      </w:r>
      <w:r w:rsidRPr="000113B8">
        <w:rPr>
          <w:rFonts w:ascii="Garamond" w:eastAsia="Arial Narrow" w:hAnsi="Garamond" w:cs="Arial"/>
          <w:color w:val="000000" w:themeColor="text1"/>
          <w:spacing w:val="1"/>
          <w:lang w:val="es-ES_tradnl"/>
        </w:rPr>
        <w:t>d</w:t>
      </w:r>
      <w:r w:rsidRPr="000113B8">
        <w:rPr>
          <w:rFonts w:ascii="Garamond" w:eastAsia="Arial Narrow" w:hAnsi="Garamond" w:cs="Arial"/>
          <w:color w:val="000000" w:themeColor="text1"/>
          <w:lang w:val="es-ES_tradnl"/>
        </w:rPr>
        <w:t>e</w:t>
      </w:r>
      <w:r w:rsidRPr="000113B8">
        <w:rPr>
          <w:rFonts w:ascii="Garamond" w:eastAsia="Arial Narrow" w:hAnsi="Garamond" w:cs="Arial"/>
          <w:color w:val="000000" w:themeColor="text1"/>
          <w:spacing w:val="3"/>
          <w:lang w:val="es-ES_tradnl"/>
        </w:rPr>
        <w:t xml:space="preserve"> </w:t>
      </w:r>
      <w:r w:rsidRPr="000113B8">
        <w:rPr>
          <w:rFonts w:ascii="Garamond" w:eastAsia="Arial Narrow" w:hAnsi="Garamond" w:cs="Arial"/>
          <w:color w:val="000000" w:themeColor="text1"/>
          <w:lang w:val="es-ES_tradnl"/>
        </w:rPr>
        <w:t>la</w:t>
      </w:r>
      <w:r w:rsidRPr="000113B8">
        <w:rPr>
          <w:rFonts w:ascii="Garamond" w:eastAsia="Arial Narrow" w:hAnsi="Garamond" w:cs="Arial"/>
          <w:color w:val="000000" w:themeColor="text1"/>
          <w:spacing w:val="2"/>
          <w:lang w:val="es-ES_tradnl"/>
        </w:rPr>
        <w:t xml:space="preserve"> </w:t>
      </w:r>
      <w:r w:rsidRPr="000113B8">
        <w:rPr>
          <w:rFonts w:ascii="Garamond" w:eastAsia="Arial Narrow" w:hAnsi="Garamond" w:cs="Arial"/>
          <w:color w:val="000000" w:themeColor="text1"/>
          <w:spacing w:val="1"/>
          <w:lang w:val="es-ES_tradnl"/>
        </w:rPr>
        <w:t>e</w:t>
      </w:r>
      <w:r w:rsidRPr="000113B8">
        <w:rPr>
          <w:rFonts w:ascii="Garamond" w:eastAsia="Arial Narrow" w:hAnsi="Garamond" w:cs="Arial"/>
          <w:color w:val="000000" w:themeColor="text1"/>
          <w:spacing w:val="-2"/>
          <w:lang w:val="es-ES_tradnl"/>
        </w:rPr>
        <w:t>c</w:t>
      </w:r>
      <w:r w:rsidRPr="000113B8">
        <w:rPr>
          <w:rFonts w:ascii="Garamond" w:eastAsia="Arial Narrow" w:hAnsi="Garamond" w:cs="Arial"/>
          <w:color w:val="000000" w:themeColor="text1"/>
          <w:spacing w:val="1"/>
          <w:lang w:val="es-ES_tradnl"/>
        </w:rPr>
        <w:t>ono</w:t>
      </w:r>
      <w:r w:rsidRPr="000113B8">
        <w:rPr>
          <w:rFonts w:ascii="Garamond" w:eastAsia="Arial Narrow" w:hAnsi="Garamond" w:cs="Arial"/>
          <w:color w:val="000000" w:themeColor="text1"/>
          <w:spacing w:val="-1"/>
          <w:lang w:val="es-ES_tradnl"/>
        </w:rPr>
        <w:t>m</w:t>
      </w:r>
      <w:r w:rsidRPr="000113B8">
        <w:rPr>
          <w:rFonts w:ascii="Garamond" w:eastAsia="Arial Narrow" w:hAnsi="Garamond" w:cs="Arial"/>
          <w:color w:val="000000" w:themeColor="text1"/>
          <w:lang w:val="es-ES_tradnl"/>
        </w:rPr>
        <w:t>í</w:t>
      </w:r>
      <w:r w:rsidRPr="000113B8">
        <w:rPr>
          <w:rFonts w:ascii="Garamond" w:eastAsia="Arial Narrow" w:hAnsi="Garamond" w:cs="Arial"/>
          <w:color w:val="000000" w:themeColor="text1"/>
          <w:spacing w:val="-1"/>
          <w:lang w:val="es-ES_tradnl"/>
        </w:rPr>
        <w:t>a</w:t>
      </w:r>
      <w:r w:rsidRPr="000113B8">
        <w:rPr>
          <w:rFonts w:ascii="Garamond" w:eastAsia="Arial Narrow" w:hAnsi="Garamond" w:cs="Arial"/>
          <w:color w:val="000000" w:themeColor="text1"/>
          <w:lang w:val="es-ES_tradnl"/>
        </w:rPr>
        <w:t>.</w:t>
      </w:r>
      <w:r w:rsidRPr="000113B8">
        <w:rPr>
          <w:rFonts w:ascii="Garamond" w:eastAsia="Arial Narrow" w:hAnsi="Garamond" w:cs="Arial"/>
          <w:color w:val="000000" w:themeColor="text1"/>
          <w:spacing w:val="2"/>
          <w:lang w:val="es-ES_tradnl"/>
        </w:rPr>
        <w:t xml:space="preserve"> </w:t>
      </w:r>
      <w:r w:rsidRPr="000113B8">
        <w:rPr>
          <w:rFonts w:ascii="Garamond" w:eastAsia="Arial Narrow" w:hAnsi="Garamond" w:cs="Arial"/>
          <w:color w:val="000000" w:themeColor="text1"/>
          <w:lang w:val="es-ES_tradnl"/>
        </w:rPr>
        <w:t>Como</w:t>
      </w:r>
      <w:r w:rsidRPr="000113B8">
        <w:rPr>
          <w:rFonts w:ascii="Garamond" w:eastAsia="Arial Narrow" w:hAnsi="Garamond" w:cs="Arial"/>
          <w:color w:val="000000" w:themeColor="text1"/>
          <w:spacing w:val="3"/>
          <w:lang w:val="es-ES_tradnl"/>
        </w:rPr>
        <w:t xml:space="preserve"> </w:t>
      </w:r>
      <w:r w:rsidRPr="000113B8">
        <w:rPr>
          <w:rFonts w:ascii="Garamond" w:eastAsia="Arial Narrow" w:hAnsi="Garamond" w:cs="Arial"/>
          <w:color w:val="000000" w:themeColor="text1"/>
          <w:spacing w:val="1"/>
          <w:lang w:val="es-ES_tradnl"/>
        </w:rPr>
        <w:t>e</w:t>
      </w:r>
      <w:r w:rsidRPr="000113B8">
        <w:rPr>
          <w:rFonts w:ascii="Garamond" w:eastAsia="Arial Narrow" w:hAnsi="Garamond" w:cs="Arial"/>
          <w:color w:val="000000" w:themeColor="text1"/>
          <w:lang w:val="es-ES_tradnl"/>
        </w:rPr>
        <w:t>jempl</w:t>
      </w:r>
      <w:r w:rsidRPr="000113B8">
        <w:rPr>
          <w:rFonts w:ascii="Garamond" w:eastAsia="Arial Narrow" w:hAnsi="Garamond" w:cs="Arial"/>
          <w:color w:val="000000" w:themeColor="text1"/>
          <w:spacing w:val="1"/>
          <w:lang w:val="es-ES_tradnl"/>
        </w:rPr>
        <w:t>o</w:t>
      </w:r>
      <w:r w:rsidRPr="000113B8">
        <w:rPr>
          <w:rFonts w:ascii="Garamond" w:eastAsia="Arial Narrow" w:hAnsi="Garamond" w:cs="Arial"/>
          <w:color w:val="000000" w:themeColor="text1"/>
          <w:lang w:val="es-ES_tradnl"/>
        </w:rPr>
        <w:t>s</w:t>
      </w:r>
      <w:r w:rsidRPr="000113B8">
        <w:rPr>
          <w:rFonts w:ascii="Garamond" w:eastAsia="Arial Narrow" w:hAnsi="Garamond" w:cs="Arial"/>
          <w:color w:val="000000" w:themeColor="text1"/>
          <w:spacing w:val="2"/>
          <w:lang w:val="es-ES_tradnl"/>
        </w:rPr>
        <w:t xml:space="preserve"> </w:t>
      </w:r>
      <w:r w:rsidRPr="000113B8">
        <w:rPr>
          <w:rFonts w:ascii="Garamond" w:eastAsia="Arial Narrow" w:hAnsi="Garamond" w:cs="Arial"/>
          <w:color w:val="000000" w:themeColor="text1"/>
          <w:spacing w:val="-1"/>
          <w:lang w:val="es-ES_tradnl"/>
        </w:rPr>
        <w:t>d</w:t>
      </w:r>
      <w:r w:rsidRPr="000113B8">
        <w:rPr>
          <w:rFonts w:ascii="Garamond" w:eastAsia="Arial Narrow" w:hAnsi="Garamond" w:cs="Arial"/>
          <w:color w:val="000000" w:themeColor="text1"/>
          <w:lang w:val="es-ES_tradnl"/>
        </w:rPr>
        <w:t>e</w:t>
      </w:r>
      <w:r w:rsidRPr="000113B8">
        <w:rPr>
          <w:rFonts w:ascii="Garamond" w:eastAsia="Arial Narrow" w:hAnsi="Garamond" w:cs="Arial"/>
          <w:color w:val="000000" w:themeColor="text1"/>
          <w:spacing w:val="3"/>
          <w:lang w:val="es-ES_tradnl"/>
        </w:rPr>
        <w:t xml:space="preserve"> </w:t>
      </w:r>
      <w:r w:rsidRPr="000113B8">
        <w:rPr>
          <w:rFonts w:ascii="Garamond" w:eastAsia="Arial Narrow" w:hAnsi="Garamond" w:cs="Arial"/>
          <w:color w:val="000000" w:themeColor="text1"/>
          <w:spacing w:val="1"/>
          <w:lang w:val="es-ES_tradnl"/>
        </w:rPr>
        <w:t>e</w:t>
      </w:r>
      <w:r w:rsidRPr="000113B8">
        <w:rPr>
          <w:rFonts w:ascii="Garamond" w:eastAsia="Arial Narrow" w:hAnsi="Garamond" w:cs="Arial"/>
          <w:color w:val="000000" w:themeColor="text1"/>
          <w:lang w:val="es-ES_tradnl"/>
        </w:rPr>
        <w:t>l</w:t>
      </w:r>
      <w:r w:rsidRPr="000113B8">
        <w:rPr>
          <w:rFonts w:ascii="Garamond" w:eastAsia="Arial Narrow" w:hAnsi="Garamond" w:cs="Arial"/>
          <w:color w:val="000000" w:themeColor="text1"/>
          <w:spacing w:val="-1"/>
          <w:lang w:val="es-ES_tradnl"/>
        </w:rPr>
        <w:t>l</w:t>
      </w:r>
      <w:r w:rsidRPr="000113B8">
        <w:rPr>
          <w:rFonts w:ascii="Garamond" w:eastAsia="Arial Narrow" w:hAnsi="Garamond" w:cs="Arial"/>
          <w:color w:val="000000" w:themeColor="text1"/>
          <w:lang w:val="es-ES_tradnl"/>
        </w:rPr>
        <w:t>o</w:t>
      </w:r>
      <w:r w:rsidRPr="000113B8">
        <w:rPr>
          <w:rFonts w:ascii="Garamond" w:eastAsia="Arial Narrow" w:hAnsi="Garamond" w:cs="Arial"/>
          <w:color w:val="000000" w:themeColor="text1"/>
          <w:spacing w:val="3"/>
          <w:lang w:val="es-ES_tradnl"/>
        </w:rPr>
        <w:t xml:space="preserve"> </w:t>
      </w:r>
      <w:r w:rsidRPr="000113B8">
        <w:rPr>
          <w:rFonts w:ascii="Garamond" w:eastAsia="Arial Narrow" w:hAnsi="Garamond" w:cs="Arial"/>
          <w:color w:val="000000" w:themeColor="text1"/>
          <w:lang w:val="es-ES_tradnl"/>
        </w:rPr>
        <w:t>t</w:t>
      </w:r>
      <w:r w:rsidRPr="000113B8">
        <w:rPr>
          <w:rFonts w:ascii="Garamond" w:eastAsia="Arial Narrow" w:hAnsi="Garamond" w:cs="Arial"/>
          <w:color w:val="000000" w:themeColor="text1"/>
          <w:spacing w:val="1"/>
          <w:lang w:val="es-ES_tradnl"/>
        </w:rPr>
        <w:t>ene</w:t>
      </w:r>
      <w:r w:rsidRPr="000113B8">
        <w:rPr>
          <w:rFonts w:ascii="Garamond" w:eastAsia="Arial Narrow" w:hAnsi="Garamond" w:cs="Arial"/>
          <w:color w:val="000000" w:themeColor="text1"/>
          <w:spacing w:val="-3"/>
          <w:lang w:val="es-ES_tradnl"/>
        </w:rPr>
        <w:t>m</w:t>
      </w:r>
      <w:r w:rsidRPr="000113B8">
        <w:rPr>
          <w:rFonts w:ascii="Garamond" w:eastAsia="Arial Narrow" w:hAnsi="Garamond" w:cs="Arial"/>
          <w:color w:val="000000" w:themeColor="text1"/>
          <w:spacing w:val="1"/>
          <w:lang w:val="es-ES_tradnl"/>
        </w:rPr>
        <w:t>o</w:t>
      </w:r>
      <w:r w:rsidRPr="000113B8">
        <w:rPr>
          <w:rFonts w:ascii="Garamond" w:eastAsia="Arial Narrow" w:hAnsi="Garamond" w:cs="Arial"/>
          <w:color w:val="000000" w:themeColor="text1"/>
          <w:lang w:val="es-ES_tradnl"/>
        </w:rPr>
        <w:t>s</w:t>
      </w:r>
      <w:r w:rsidRPr="000113B8">
        <w:rPr>
          <w:rFonts w:ascii="Garamond" w:eastAsia="Arial Narrow" w:hAnsi="Garamond" w:cs="Arial"/>
          <w:color w:val="000000" w:themeColor="text1"/>
          <w:spacing w:val="2"/>
          <w:lang w:val="es-ES_tradnl"/>
        </w:rPr>
        <w:t xml:space="preserve"> </w:t>
      </w:r>
      <w:r w:rsidRPr="000113B8">
        <w:rPr>
          <w:rFonts w:ascii="Garamond" w:eastAsia="Arial Narrow" w:hAnsi="Garamond" w:cs="Arial"/>
          <w:color w:val="000000" w:themeColor="text1"/>
          <w:spacing w:val="1"/>
          <w:lang w:val="es-ES_tradnl"/>
        </w:rPr>
        <w:t>e</w:t>
      </w:r>
      <w:r w:rsidRPr="000113B8">
        <w:rPr>
          <w:rFonts w:ascii="Garamond" w:eastAsia="Arial Narrow" w:hAnsi="Garamond" w:cs="Arial"/>
          <w:color w:val="000000" w:themeColor="text1"/>
          <w:lang w:val="es-ES_tradnl"/>
        </w:rPr>
        <w:t>l c</w:t>
      </w:r>
      <w:r w:rsidRPr="000113B8">
        <w:rPr>
          <w:rFonts w:ascii="Garamond" w:eastAsia="Arial Narrow" w:hAnsi="Garamond" w:cs="Arial"/>
          <w:color w:val="000000" w:themeColor="text1"/>
          <w:spacing w:val="1"/>
          <w:lang w:val="es-ES_tradnl"/>
        </w:rPr>
        <w:t>o</w:t>
      </w:r>
      <w:r w:rsidRPr="000113B8">
        <w:rPr>
          <w:rFonts w:ascii="Garamond" w:eastAsia="Arial Narrow" w:hAnsi="Garamond" w:cs="Arial"/>
          <w:color w:val="000000" w:themeColor="text1"/>
          <w:spacing w:val="-1"/>
          <w:lang w:val="es-ES_tradnl"/>
        </w:rPr>
        <w:t>m</w:t>
      </w:r>
      <w:r w:rsidRPr="000113B8">
        <w:rPr>
          <w:rFonts w:ascii="Garamond" w:eastAsia="Arial Narrow" w:hAnsi="Garamond" w:cs="Arial"/>
          <w:color w:val="000000" w:themeColor="text1"/>
          <w:spacing w:val="1"/>
          <w:lang w:val="es-ES_tradnl"/>
        </w:rPr>
        <w:t>e</w:t>
      </w:r>
      <w:r w:rsidRPr="000113B8">
        <w:rPr>
          <w:rFonts w:ascii="Garamond" w:eastAsia="Arial Narrow" w:hAnsi="Garamond" w:cs="Arial"/>
          <w:color w:val="000000" w:themeColor="text1"/>
          <w:lang w:val="es-ES_tradnl"/>
        </w:rPr>
        <w:t>rc</w:t>
      </w:r>
      <w:r w:rsidRPr="000113B8">
        <w:rPr>
          <w:rFonts w:ascii="Garamond" w:eastAsia="Arial Narrow" w:hAnsi="Garamond" w:cs="Arial"/>
          <w:color w:val="000000" w:themeColor="text1"/>
          <w:spacing w:val="-1"/>
          <w:lang w:val="es-ES_tradnl"/>
        </w:rPr>
        <w:t>i</w:t>
      </w:r>
      <w:r w:rsidRPr="000113B8">
        <w:rPr>
          <w:rFonts w:ascii="Garamond" w:eastAsia="Arial Narrow" w:hAnsi="Garamond" w:cs="Arial"/>
          <w:color w:val="000000" w:themeColor="text1"/>
          <w:spacing w:val="1"/>
          <w:lang w:val="es-ES_tradnl"/>
        </w:rPr>
        <w:t>o</w:t>
      </w:r>
      <w:r w:rsidRPr="000113B8">
        <w:rPr>
          <w:rFonts w:ascii="Garamond" w:eastAsia="Arial Narrow" w:hAnsi="Garamond" w:cs="Arial"/>
          <w:color w:val="000000" w:themeColor="text1"/>
          <w:lang w:val="es-ES_tradnl"/>
        </w:rPr>
        <w:t>,</w:t>
      </w:r>
      <w:r w:rsidRPr="000113B8">
        <w:rPr>
          <w:rFonts w:ascii="Garamond" w:eastAsia="Arial Narrow" w:hAnsi="Garamond" w:cs="Arial"/>
          <w:color w:val="000000" w:themeColor="text1"/>
          <w:spacing w:val="3"/>
          <w:lang w:val="es-ES_tradnl"/>
        </w:rPr>
        <w:t xml:space="preserve"> </w:t>
      </w:r>
      <w:r w:rsidRPr="000113B8">
        <w:rPr>
          <w:rFonts w:ascii="Garamond" w:eastAsia="Arial Narrow" w:hAnsi="Garamond" w:cs="Arial"/>
          <w:color w:val="000000" w:themeColor="text1"/>
          <w:lang w:val="es-ES_tradnl"/>
        </w:rPr>
        <w:t>los</w:t>
      </w:r>
      <w:r w:rsidRPr="000113B8">
        <w:rPr>
          <w:rFonts w:ascii="Garamond" w:eastAsia="Arial Narrow" w:hAnsi="Garamond" w:cs="Arial"/>
          <w:color w:val="000000" w:themeColor="text1"/>
          <w:spacing w:val="3"/>
          <w:lang w:val="es-ES_tradnl"/>
        </w:rPr>
        <w:t xml:space="preserve"> </w:t>
      </w:r>
      <w:r w:rsidRPr="000113B8">
        <w:rPr>
          <w:rFonts w:ascii="Garamond" w:eastAsia="Arial Narrow" w:hAnsi="Garamond" w:cs="Arial"/>
          <w:color w:val="000000" w:themeColor="text1"/>
          <w:spacing w:val="-3"/>
          <w:lang w:val="es-ES_tradnl"/>
        </w:rPr>
        <w:t>r</w:t>
      </w:r>
      <w:r w:rsidRPr="000113B8">
        <w:rPr>
          <w:rFonts w:ascii="Garamond" w:eastAsia="Arial Narrow" w:hAnsi="Garamond" w:cs="Arial"/>
          <w:color w:val="000000" w:themeColor="text1"/>
          <w:spacing w:val="1"/>
          <w:lang w:val="es-ES_tradnl"/>
        </w:rPr>
        <w:t>e</w:t>
      </w:r>
      <w:r w:rsidRPr="000113B8">
        <w:rPr>
          <w:rFonts w:ascii="Garamond" w:eastAsia="Arial Narrow" w:hAnsi="Garamond" w:cs="Arial"/>
          <w:color w:val="000000" w:themeColor="text1"/>
          <w:lang w:val="es-ES_tradnl"/>
        </w:rPr>
        <w:t>st</w:t>
      </w:r>
      <w:r w:rsidRPr="000113B8">
        <w:rPr>
          <w:rFonts w:ascii="Garamond" w:eastAsia="Arial Narrow" w:hAnsi="Garamond" w:cs="Arial"/>
          <w:color w:val="000000" w:themeColor="text1"/>
          <w:spacing w:val="1"/>
          <w:lang w:val="es-ES_tradnl"/>
        </w:rPr>
        <w:t>au</w:t>
      </w:r>
      <w:r w:rsidRPr="000113B8">
        <w:rPr>
          <w:rFonts w:ascii="Garamond" w:eastAsia="Arial Narrow" w:hAnsi="Garamond" w:cs="Arial"/>
          <w:color w:val="000000" w:themeColor="text1"/>
          <w:spacing w:val="-3"/>
          <w:lang w:val="es-ES_tradnl"/>
        </w:rPr>
        <w:t>r</w:t>
      </w:r>
      <w:r w:rsidRPr="000113B8">
        <w:rPr>
          <w:rFonts w:ascii="Garamond" w:eastAsia="Arial Narrow" w:hAnsi="Garamond" w:cs="Arial"/>
          <w:color w:val="000000" w:themeColor="text1"/>
          <w:spacing w:val="1"/>
          <w:lang w:val="es-ES_tradnl"/>
        </w:rPr>
        <w:t>an</w:t>
      </w:r>
      <w:r w:rsidRPr="000113B8">
        <w:rPr>
          <w:rFonts w:ascii="Garamond" w:eastAsia="Arial Narrow" w:hAnsi="Garamond" w:cs="Arial"/>
          <w:color w:val="000000" w:themeColor="text1"/>
          <w:spacing w:val="-2"/>
          <w:lang w:val="es-ES_tradnl"/>
        </w:rPr>
        <w:t>t</w:t>
      </w:r>
      <w:r w:rsidRPr="000113B8">
        <w:rPr>
          <w:rFonts w:ascii="Garamond" w:eastAsia="Arial Narrow" w:hAnsi="Garamond" w:cs="Arial"/>
          <w:color w:val="000000" w:themeColor="text1"/>
          <w:spacing w:val="1"/>
          <w:lang w:val="es-ES_tradnl"/>
        </w:rPr>
        <w:t>e</w:t>
      </w:r>
      <w:r w:rsidRPr="000113B8">
        <w:rPr>
          <w:rFonts w:ascii="Garamond" w:eastAsia="Arial Narrow" w:hAnsi="Garamond" w:cs="Arial"/>
          <w:color w:val="000000" w:themeColor="text1"/>
          <w:spacing w:val="3"/>
          <w:lang w:val="es-ES_tradnl"/>
        </w:rPr>
        <w:t>s</w:t>
      </w:r>
      <w:r w:rsidRPr="000113B8">
        <w:rPr>
          <w:rFonts w:ascii="Garamond" w:eastAsia="Arial Narrow" w:hAnsi="Garamond" w:cs="Arial"/>
          <w:color w:val="000000" w:themeColor="text1"/>
          <w:lang w:val="es-ES_tradnl"/>
        </w:rPr>
        <w:t>, los</w:t>
      </w:r>
      <w:r w:rsidRPr="000113B8">
        <w:rPr>
          <w:rFonts w:ascii="Garamond" w:eastAsia="Arial Narrow" w:hAnsi="Garamond" w:cs="Arial"/>
          <w:color w:val="000000" w:themeColor="text1"/>
          <w:spacing w:val="3"/>
          <w:lang w:val="es-ES_tradnl"/>
        </w:rPr>
        <w:t xml:space="preserve"> </w:t>
      </w:r>
      <w:r w:rsidRPr="000113B8">
        <w:rPr>
          <w:rFonts w:ascii="Garamond" w:eastAsia="Arial Narrow" w:hAnsi="Garamond" w:cs="Arial"/>
          <w:color w:val="000000" w:themeColor="text1"/>
          <w:spacing w:val="-1"/>
          <w:lang w:val="es-ES_tradnl"/>
        </w:rPr>
        <w:t>h</w:t>
      </w:r>
      <w:r w:rsidRPr="000113B8">
        <w:rPr>
          <w:rFonts w:ascii="Garamond" w:eastAsia="Arial Narrow" w:hAnsi="Garamond" w:cs="Arial"/>
          <w:color w:val="000000" w:themeColor="text1"/>
          <w:spacing w:val="1"/>
          <w:lang w:val="es-ES_tradnl"/>
        </w:rPr>
        <w:t>o</w:t>
      </w:r>
      <w:r w:rsidRPr="000113B8">
        <w:rPr>
          <w:rFonts w:ascii="Garamond" w:eastAsia="Arial Narrow" w:hAnsi="Garamond" w:cs="Arial"/>
          <w:color w:val="000000" w:themeColor="text1"/>
          <w:lang w:val="es-ES_tradnl"/>
        </w:rPr>
        <w:t>t</w:t>
      </w:r>
      <w:r w:rsidRPr="000113B8">
        <w:rPr>
          <w:rFonts w:ascii="Garamond" w:eastAsia="Arial Narrow" w:hAnsi="Garamond" w:cs="Arial"/>
          <w:color w:val="000000" w:themeColor="text1"/>
          <w:spacing w:val="1"/>
          <w:lang w:val="es-ES_tradnl"/>
        </w:rPr>
        <w:t>e</w:t>
      </w:r>
      <w:r w:rsidRPr="000113B8">
        <w:rPr>
          <w:rFonts w:ascii="Garamond" w:eastAsia="Arial Narrow" w:hAnsi="Garamond" w:cs="Arial"/>
          <w:color w:val="000000" w:themeColor="text1"/>
          <w:lang w:val="es-ES_tradnl"/>
        </w:rPr>
        <w:t>le</w:t>
      </w:r>
      <w:r w:rsidRPr="000113B8">
        <w:rPr>
          <w:rFonts w:ascii="Garamond" w:eastAsia="Arial Narrow" w:hAnsi="Garamond" w:cs="Arial"/>
          <w:color w:val="000000" w:themeColor="text1"/>
          <w:spacing w:val="-2"/>
          <w:lang w:val="es-ES_tradnl"/>
        </w:rPr>
        <w:t>s</w:t>
      </w:r>
      <w:r w:rsidRPr="000113B8">
        <w:rPr>
          <w:rFonts w:ascii="Garamond" w:eastAsia="Arial Narrow" w:hAnsi="Garamond" w:cs="Arial"/>
          <w:color w:val="000000" w:themeColor="text1"/>
          <w:lang w:val="es-ES_tradnl"/>
        </w:rPr>
        <w:t>,</w:t>
      </w:r>
      <w:r w:rsidRPr="000113B8">
        <w:rPr>
          <w:rFonts w:ascii="Garamond" w:eastAsia="Arial Narrow" w:hAnsi="Garamond" w:cs="Arial"/>
          <w:color w:val="000000" w:themeColor="text1"/>
          <w:spacing w:val="3"/>
          <w:lang w:val="es-ES_tradnl"/>
        </w:rPr>
        <w:t xml:space="preserve"> </w:t>
      </w:r>
      <w:r w:rsidRPr="000113B8">
        <w:rPr>
          <w:rFonts w:ascii="Garamond" w:eastAsia="Arial Narrow" w:hAnsi="Garamond" w:cs="Arial"/>
          <w:color w:val="000000" w:themeColor="text1"/>
          <w:spacing w:val="1"/>
          <w:lang w:val="es-ES_tradnl"/>
        </w:rPr>
        <w:t>e</w:t>
      </w:r>
      <w:r w:rsidRPr="000113B8">
        <w:rPr>
          <w:rFonts w:ascii="Garamond" w:eastAsia="Arial Narrow" w:hAnsi="Garamond" w:cs="Arial"/>
          <w:color w:val="000000" w:themeColor="text1"/>
          <w:lang w:val="es-ES_tradnl"/>
        </w:rPr>
        <w:t>l tra</w:t>
      </w:r>
      <w:r w:rsidRPr="000113B8">
        <w:rPr>
          <w:rFonts w:ascii="Garamond" w:eastAsia="Arial Narrow" w:hAnsi="Garamond" w:cs="Arial"/>
          <w:color w:val="000000" w:themeColor="text1"/>
          <w:spacing w:val="1"/>
          <w:lang w:val="es-ES_tradnl"/>
        </w:rPr>
        <w:t>n</w:t>
      </w:r>
      <w:r w:rsidRPr="000113B8">
        <w:rPr>
          <w:rFonts w:ascii="Garamond" w:eastAsia="Arial Narrow" w:hAnsi="Garamond" w:cs="Arial"/>
          <w:color w:val="000000" w:themeColor="text1"/>
          <w:spacing w:val="-2"/>
          <w:lang w:val="es-ES_tradnl"/>
        </w:rPr>
        <w:t>s</w:t>
      </w:r>
      <w:r w:rsidRPr="000113B8">
        <w:rPr>
          <w:rFonts w:ascii="Garamond" w:eastAsia="Arial Narrow" w:hAnsi="Garamond" w:cs="Arial"/>
          <w:color w:val="000000" w:themeColor="text1"/>
          <w:spacing w:val="1"/>
          <w:lang w:val="es-ES_tradnl"/>
        </w:rPr>
        <w:t>po</w:t>
      </w:r>
      <w:r w:rsidRPr="000113B8">
        <w:rPr>
          <w:rFonts w:ascii="Garamond" w:eastAsia="Arial Narrow" w:hAnsi="Garamond" w:cs="Arial"/>
          <w:color w:val="000000" w:themeColor="text1"/>
          <w:lang w:val="es-ES_tradnl"/>
        </w:rPr>
        <w:t>rt</w:t>
      </w:r>
      <w:r w:rsidRPr="000113B8">
        <w:rPr>
          <w:rFonts w:ascii="Garamond" w:eastAsia="Arial Narrow" w:hAnsi="Garamond" w:cs="Arial"/>
          <w:color w:val="000000" w:themeColor="text1"/>
          <w:spacing w:val="-2"/>
          <w:lang w:val="es-ES_tradnl"/>
        </w:rPr>
        <w:t>e</w:t>
      </w:r>
      <w:r w:rsidRPr="000113B8">
        <w:rPr>
          <w:rFonts w:ascii="Garamond" w:eastAsia="Arial Narrow" w:hAnsi="Garamond" w:cs="Arial"/>
          <w:color w:val="000000" w:themeColor="text1"/>
          <w:lang w:val="es-ES_tradnl"/>
        </w:rPr>
        <w:t>,</w:t>
      </w:r>
      <w:r w:rsidRPr="000113B8">
        <w:rPr>
          <w:rFonts w:ascii="Garamond" w:eastAsia="Arial Narrow" w:hAnsi="Garamond" w:cs="Arial"/>
          <w:color w:val="000000" w:themeColor="text1"/>
          <w:spacing w:val="3"/>
          <w:lang w:val="es-ES_tradnl"/>
        </w:rPr>
        <w:t xml:space="preserve"> </w:t>
      </w:r>
      <w:r w:rsidRPr="000113B8">
        <w:rPr>
          <w:rFonts w:ascii="Garamond" w:eastAsia="Arial Narrow" w:hAnsi="Garamond" w:cs="Arial"/>
          <w:color w:val="000000" w:themeColor="text1"/>
          <w:spacing w:val="-3"/>
          <w:lang w:val="es-ES_tradnl"/>
        </w:rPr>
        <w:t>l</w:t>
      </w:r>
      <w:r w:rsidRPr="000113B8">
        <w:rPr>
          <w:rFonts w:ascii="Garamond" w:eastAsia="Arial Narrow" w:hAnsi="Garamond" w:cs="Arial"/>
          <w:color w:val="000000" w:themeColor="text1"/>
          <w:spacing w:val="1"/>
          <w:lang w:val="es-ES_tradnl"/>
        </w:rPr>
        <w:t>o</w:t>
      </w:r>
      <w:r w:rsidRPr="000113B8">
        <w:rPr>
          <w:rFonts w:ascii="Garamond" w:eastAsia="Arial Narrow" w:hAnsi="Garamond" w:cs="Arial"/>
          <w:color w:val="000000" w:themeColor="text1"/>
          <w:lang w:val="es-ES_tradnl"/>
        </w:rPr>
        <w:t>s</w:t>
      </w:r>
      <w:r w:rsidRPr="000113B8">
        <w:rPr>
          <w:rFonts w:ascii="Garamond" w:eastAsia="Arial Narrow" w:hAnsi="Garamond" w:cs="Arial"/>
          <w:color w:val="000000" w:themeColor="text1"/>
          <w:spacing w:val="2"/>
          <w:lang w:val="es-ES_tradnl"/>
        </w:rPr>
        <w:t xml:space="preserve"> </w:t>
      </w:r>
      <w:r w:rsidRPr="000113B8">
        <w:rPr>
          <w:rFonts w:ascii="Garamond" w:eastAsia="Arial Narrow" w:hAnsi="Garamond" w:cs="Arial"/>
          <w:color w:val="000000" w:themeColor="text1"/>
          <w:lang w:val="es-ES_tradnl"/>
        </w:rPr>
        <w:t>s</w:t>
      </w:r>
      <w:r w:rsidRPr="000113B8">
        <w:rPr>
          <w:rFonts w:ascii="Garamond" w:eastAsia="Arial Narrow" w:hAnsi="Garamond" w:cs="Arial"/>
          <w:color w:val="000000" w:themeColor="text1"/>
          <w:spacing w:val="1"/>
          <w:lang w:val="es-ES_tradnl"/>
        </w:rPr>
        <w:t>e</w:t>
      </w:r>
      <w:r w:rsidRPr="000113B8">
        <w:rPr>
          <w:rFonts w:ascii="Garamond" w:eastAsia="Arial Narrow" w:hAnsi="Garamond" w:cs="Arial"/>
          <w:color w:val="000000" w:themeColor="text1"/>
          <w:lang w:val="es-ES_tradnl"/>
        </w:rPr>
        <w:t>rv</w:t>
      </w:r>
      <w:r w:rsidRPr="000113B8">
        <w:rPr>
          <w:rFonts w:ascii="Garamond" w:eastAsia="Arial Narrow" w:hAnsi="Garamond" w:cs="Arial"/>
          <w:color w:val="000000" w:themeColor="text1"/>
          <w:spacing w:val="-1"/>
          <w:lang w:val="es-ES_tradnl"/>
        </w:rPr>
        <w:t>i</w:t>
      </w:r>
      <w:r w:rsidRPr="000113B8">
        <w:rPr>
          <w:rFonts w:ascii="Garamond" w:eastAsia="Arial Narrow" w:hAnsi="Garamond" w:cs="Arial"/>
          <w:color w:val="000000" w:themeColor="text1"/>
          <w:lang w:val="es-ES_tradnl"/>
        </w:rPr>
        <w:t>cios</w:t>
      </w:r>
      <w:r w:rsidRPr="000113B8">
        <w:rPr>
          <w:rFonts w:ascii="Garamond" w:eastAsia="Arial Narrow" w:hAnsi="Garamond" w:cs="Arial"/>
          <w:color w:val="000000" w:themeColor="text1"/>
          <w:spacing w:val="3"/>
          <w:lang w:val="es-ES_tradnl"/>
        </w:rPr>
        <w:t xml:space="preserve"> </w:t>
      </w:r>
      <w:r w:rsidRPr="000113B8">
        <w:rPr>
          <w:rFonts w:ascii="Garamond" w:eastAsia="Arial Narrow" w:hAnsi="Garamond" w:cs="Arial"/>
          <w:color w:val="000000" w:themeColor="text1"/>
          <w:lang w:val="es-ES_tradnl"/>
        </w:rPr>
        <w:t>f</w:t>
      </w:r>
      <w:r w:rsidRPr="000113B8">
        <w:rPr>
          <w:rFonts w:ascii="Garamond" w:eastAsia="Arial Narrow" w:hAnsi="Garamond" w:cs="Arial"/>
          <w:color w:val="000000" w:themeColor="text1"/>
          <w:spacing w:val="-2"/>
          <w:lang w:val="es-ES_tradnl"/>
        </w:rPr>
        <w:t>i</w:t>
      </w:r>
      <w:r w:rsidRPr="000113B8">
        <w:rPr>
          <w:rFonts w:ascii="Garamond" w:eastAsia="Arial Narrow" w:hAnsi="Garamond" w:cs="Arial"/>
          <w:color w:val="000000" w:themeColor="text1"/>
          <w:spacing w:val="1"/>
          <w:lang w:val="es-ES_tradnl"/>
        </w:rPr>
        <w:t>nan</w:t>
      </w:r>
      <w:r w:rsidRPr="000113B8">
        <w:rPr>
          <w:rFonts w:ascii="Garamond" w:eastAsia="Arial Narrow" w:hAnsi="Garamond" w:cs="Arial"/>
          <w:color w:val="000000" w:themeColor="text1"/>
          <w:lang w:val="es-ES_tradnl"/>
        </w:rPr>
        <w:t>cie</w:t>
      </w:r>
      <w:r w:rsidRPr="000113B8">
        <w:rPr>
          <w:rFonts w:ascii="Garamond" w:eastAsia="Arial Narrow" w:hAnsi="Garamond" w:cs="Arial"/>
          <w:color w:val="000000" w:themeColor="text1"/>
          <w:spacing w:val="-3"/>
          <w:lang w:val="es-ES_tradnl"/>
        </w:rPr>
        <w:t>r</w:t>
      </w:r>
      <w:r w:rsidRPr="000113B8">
        <w:rPr>
          <w:rFonts w:ascii="Garamond" w:eastAsia="Arial Narrow" w:hAnsi="Garamond" w:cs="Arial"/>
          <w:color w:val="000000" w:themeColor="text1"/>
          <w:spacing w:val="1"/>
          <w:lang w:val="es-ES_tradnl"/>
        </w:rPr>
        <w:t>o</w:t>
      </w:r>
      <w:r w:rsidRPr="000113B8">
        <w:rPr>
          <w:rFonts w:ascii="Garamond" w:eastAsia="Arial Narrow" w:hAnsi="Garamond" w:cs="Arial"/>
          <w:color w:val="000000" w:themeColor="text1"/>
          <w:lang w:val="es-ES_tradnl"/>
        </w:rPr>
        <w:t>s,</w:t>
      </w:r>
      <w:r w:rsidRPr="000113B8">
        <w:rPr>
          <w:rFonts w:ascii="Garamond" w:eastAsia="Arial Narrow" w:hAnsi="Garamond" w:cs="Arial"/>
          <w:color w:val="000000" w:themeColor="text1"/>
          <w:spacing w:val="3"/>
          <w:lang w:val="es-ES_tradnl"/>
        </w:rPr>
        <w:t xml:space="preserve"> </w:t>
      </w:r>
      <w:r w:rsidRPr="000113B8">
        <w:rPr>
          <w:rFonts w:ascii="Garamond" w:eastAsia="Arial Narrow" w:hAnsi="Garamond" w:cs="Arial"/>
          <w:color w:val="000000" w:themeColor="text1"/>
          <w:lang w:val="es-ES_tradnl"/>
        </w:rPr>
        <w:t>las c</w:t>
      </w:r>
      <w:r w:rsidRPr="000113B8">
        <w:rPr>
          <w:rFonts w:ascii="Garamond" w:eastAsia="Arial Narrow" w:hAnsi="Garamond" w:cs="Arial"/>
          <w:color w:val="000000" w:themeColor="text1"/>
          <w:spacing w:val="1"/>
          <w:lang w:val="es-ES_tradnl"/>
        </w:rPr>
        <w:t>o</w:t>
      </w:r>
      <w:r w:rsidRPr="000113B8">
        <w:rPr>
          <w:rFonts w:ascii="Garamond" w:eastAsia="Arial Narrow" w:hAnsi="Garamond" w:cs="Arial"/>
          <w:color w:val="000000" w:themeColor="text1"/>
          <w:spacing w:val="-1"/>
          <w:lang w:val="es-ES_tradnl"/>
        </w:rPr>
        <w:t>m</w:t>
      </w:r>
      <w:r w:rsidRPr="000113B8">
        <w:rPr>
          <w:rFonts w:ascii="Garamond" w:eastAsia="Arial Narrow" w:hAnsi="Garamond" w:cs="Arial"/>
          <w:color w:val="000000" w:themeColor="text1"/>
          <w:spacing w:val="1"/>
          <w:lang w:val="es-ES_tradnl"/>
        </w:rPr>
        <w:t>un</w:t>
      </w:r>
      <w:r w:rsidRPr="000113B8">
        <w:rPr>
          <w:rFonts w:ascii="Garamond" w:eastAsia="Arial Narrow" w:hAnsi="Garamond" w:cs="Arial"/>
          <w:color w:val="000000" w:themeColor="text1"/>
          <w:lang w:val="es-ES_tradnl"/>
        </w:rPr>
        <w:t>icac</w:t>
      </w:r>
      <w:r w:rsidRPr="000113B8">
        <w:rPr>
          <w:rFonts w:ascii="Garamond" w:eastAsia="Arial Narrow" w:hAnsi="Garamond" w:cs="Arial"/>
          <w:color w:val="000000" w:themeColor="text1"/>
          <w:spacing w:val="-3"/>
          <w:lang w:val="es-ES_tradnl"/>
        </w:rPr>
        <w:t>i</w:t>
      </w:r>
      <w:r w:rsidRPr="000113B8">
        <w:rPr>
          <w:rFonts w:ascii="Garamond" w:eastAsia="Arial Narrow" w:hAnsi="Garamond" w:cs="Arial"/>
          <w:color w:val="000000" w:themeColor="text1"/>
          <w:spacing w:val="1"/>
          <w:lang w:val="es-ES_tradnl"/>
        </w:rPr>
        <w:t>one</w:t>
      </w:r>
      <w:r w:rsidRPr="000113B8">
        <w:rPr>
          <w:rFonts w:ascii="Garamond" w:eastAsia="Arial Narrow" w:hAnsi="Garamond" w:cs="Arial"/>
          <w:color w:val="000000" w:themeColor="text1"/>
          <w:spacing w:val="-2"/>
          <w:lang w:val="es-ES_tradnl"/>
        </w:rPr>
        <w:t>s</w:t>
      </w:r>
      <w:r w:rsidRPr="000113B8">
        <w:rPr>
          <w:rFonts w:ascii="Garamond" w:eastAsia="Arial Narrow" w:hAnsi="Garamond" w:cs="Arial"/>
          <w:color w:val="000000" w:themeColor="text1"/>
          <w:lang w:val="es-ES_tradnl"/>
        </w:rPr>
        <w:t>, los</w:t>
      </w:r>
      <w:r w:rsidRPr="000113B8">
        <w:rPr>
          <w:rFonts w:ascii="Garamond" w:eastAsia="Arial Narrow" w:hAnsi="Garamond" w:cs="Arial"/>
          <w:color w:val="000000" w:themeColor="text1"/>
          <w:spacing w:val="1"/>
          <w:lang w:val="es-ES_tradnl"/>
        </w:rPr>
        <w:t xml:space="preserve"> </w:t>
      </w:r>
      <w:r w:rsidRPr="000113B8">
        <w:rPr>
          <w:rFonts w:ascii="Garamond" w:eastAsia="Arial Narrow" w:hAnsi="Garamond" w:cs="Arial"/>
          <w:color w:val="000000" w:themeColor="text1"/>
          <w:lang w:val="es-ES_tradnl"/>
        </w:rPr>
        <w:t>s</w:t>
      </w:r>
      <w:r w:rsidRPr="000113B8">
        <w:rPr>
          <w:rFonts w:ascii="Garamond" w:eastAsia="Arial Narrow" w:hAnsi="Garamond" w:cs="Arial"/>
          <w:color w:val="000000" w:themeColor="text1"/>
          <w:spacing w:val="1"/>
          <w:lang w:val="es-ES_tradnl"/>
        </w:rPr>
        <w:t>e</w:t>
      </w:r>
      <w:r w:rsidRPr="000113B8">
        <w:rPr>
          <w:rFonts w:ascii="Garamond" w:eastAsia="Arial Narrow" w:hAnsi="Garamond" w:cs="Arial"/>
          <w:color w:val="000000" w:themeColor="text1"/>
          <w:lang w:val="es-ES_tradnl"/>
        </w:rPr>
        <w:t>rv</w:t>
      </w:r>
      <w:r w:rsidRPr="000113B8">
        <w:rPr>
          <w:rFonts w:ascii="Garamond" w:eastAsia="Arial Narrow" w:hAnsi="Garamond" w:cs="Arial"/>
          <w:color w:val="000000" w:themeColor="text1"/>
          <w:spacing w:val="-1"/>
          <w:lang w:val="es-ES_tradnl"/>
        </w:rPr>
        <w:t>i</w:t>
      </w:r>
      <w:r w:rsidRPr="000113B8">
        <w:rPr>
          <w:rFonts w:ascii="Garamond" w:eastAsia="Arial Narrow" w:hAnsi="Garamond" w:cs="Arial"/>
          <w:color w:val="000000" w:themeColor="text1"/>
          <w:lang w:val="es-ES_tradnl"/>
        </w:rPr>
        <w:t>cios</w:t>
      </w:r>
      <w:r w:rsidRPr="000113B8">
        <w:rPr>
          <w:rFonts w:ascii="Garamond" w:eastAsia="Arial Narrow" w:hAnsi="Garamond" w:cs="Arial"/>
          <w:color w:val="000000" w:themeColor="text1"/>
          <w:spacing w:val="1"/>
          <w:lang w:val="es-ES_tradnl"/>
        </w:rPr>
        <w:t xml:space="preserve"> d</w:t>
      </w:r>
      <w:r w:rsidRPr="000113B8">
        <w:rPr>
          <w:rFonts w:ascii="Garamond" w:eastAsia="Arial Narrow" w:hAnsi="Garamond" w:cs="Arial"/>
          <w:color w:val="000000" w:themeColor="text1"/>
          <w:lang w:val="es-ES_tradnl"/>
        </w:rPr>
        <w:t>e</w:t>
      </w:r>
      <w:r w:rsidRPr="000113B8">
        <w:rPr>
          <w:rFonts w:ascii="Garamond" w:eastAsia="Arial Narrow" w:hAnsi="Garamond" w:cs="Arial"/>
          <w:color w:val="000000" w:themeColor="text1"/>
          <w:spacing w:val="-1"/>
          <w:lang w:val="es-ES_tradnl"/>
        </w:rPr>
        <w:t xml:space="preserve"> </w:t>
      </w:r>
      <w:r w:rsidRPr="000113B8">
        <w:rPr>
          <w:rFonts w:ascii="Garamond" w:eastAsia="Arial Narrow" w:hAnsi="Garamond" w:cs="Arial"/>
          <w:color w:val="000000" w:themeColor="text1"/>
          <w:spacing w:val="1"/>
          <w:lang w:val="es-ES_tradnl"/>
        </w:rPr>
        <w:t>e</w:t>
      </w:r>
      <w:r w:rsidRPr="000113B8">
        <w:rPr>
          <w:rFonts w:ascii="Garamond" w:eastAsia="Arial Narrow" w:hAnsi="Garamond" w:cs="Arial"/>
          <w:color w:val="000000" w:themeColor="text1"/>
          <w:spacing w:val="-1"/>
          <w:lang w:val="es-ES_tradnl"/>
        </w:rPr>
        <w:t>d</w:t>
      </w:r>
      <w:r w:rsidRPr="000113B8">
        <w:rPr>
          <w:rFonts w:ascii="Garamond" w:eastAsia="Arial Narrow" w:hAnsi="Garamond" w:cs="Arial"/>
          <w:color w:val="000000" w:themeColor="text1"/>
          <w:spacing w:val="1"/>
          <w:lang w:val="es-ES_tradnl"/>
        </w:rPr>
        <w:t>u</w:t>
      </w:r>
      <w:r w:rsidRPr="000113B8">
        <w:rPr>
          <w:rFonts w:ascii="Garamond" w:eastAsia="Arial Narrow" w:hAnsi="Garamond" w:cs="Arial"/>
          <w:color w:val="000000" w:themeColor="text1"/>
          <w:lang w:val="es-ES_tradnl"/>
        </w:rPr>
        <w:t>c</w:t>
      </w:r>
      <w:r w:rsidRPr="000113B8">
        <w:rPr>
          <w:rFonts w:ascii="Garamond" w:eastAsia="Arial Narrow" w:hAnsi="Garamond" w:cs="Arial"/>
          <w:color w:val="000000" w:themeColor="text1"/>
          <w:spacing w:val="1"/>
          <w:lang w:val="es-ES_tradnl"/>
        </w:rPr>
        <w:t>a</w:t>
      </w:r>
      <w:r w:rsidRPr="000113B8">
        <w:rPr>
          <w:rFonts w:ascii="Garamond" w:eastAsia="Arial Narrow" w:hAnsi="Garamond" w:cs="Arial"/>
          <w:color w:val="000000" w:themeColor="text1"/>
          <w:lang w:val="es-ES_tradnl"/>
        </w:rPr>
        <w:t>ci</w:t>
      </w:r>
      <w:r w:rsidRPr="000113B8">
        <w:rPr>
          <w:rFonts w:ascii="Garamond" w:eastAsia="Arial Narrow" w:hAnsi="Garamond" w:cs="Arial"/>
          <w:color w:val="000000" w:themeColor="text1"/>
          <w:spacing w:val="-2"/>
          <w:lang w:val="es-ES_tradnl"/>
        </w:rPr>
        <w:t>ó</w:t>
      </w:r>
      <w:r w:rsidRPr="000113B8">
        <w:rPr>
          <w:rFonts w:ascii="Garamond" w:eastAsia="Arial Narrow" w:hAnsi="Garamond" w:cs="Arial"/>
          <w:color w:val="000000" w:themeColor="text1"/>
          <w:spacing w:val="1"/>
          <w:lang w:val="es-ES_tradnl"/>
        </w:rPr>
        <w:t>n</w:t>
      </w:r>
      <w:r w:rsidRPr="000113B8">
        <w:rPr>
          <w:rFonts w:ascii="Garamond" w:eastAsia="Arial Narrow" w:hAnsi="Garamond" w:cs="Arial"/>
          <w:color w:val="000000" w:themeColor="text1"/>
          <w:lang w:val="es-ES_tradnl"/>
        </w:rPr>
        <w:t>,</w:t>
      </w:r>
      <w:r w:rsidRPr="000113B8">
        <w:rPr>
          <w:rFonts w:ascii="Garamond" w:eastAsia="Arial Narrow" w:hAnsi="Garamond" w:cs="Arial"/>
          <w:color w:val="000000" w:themeColor="text1"/>
          <w:spacing w:val="1"/>
          <w:lang w:val="es-ES_tradnl"/>
        </w:rPr>
        <w:t xml:space="preserve"> </w:t>
      </w:r>
      <w:r w:rsidRPr="000113B8">
        <w:rPr>
          <w:rFonts w:ascii="Garamond" w:eastAsia="Arial Narrow" w:hAnsi="Garamond" w:cs="Arial"/>
          <w:color w:val="000000" w:themeColor="text1"/>
          <w:spacing w:val="-3"/>
          <w:lang w:val="es-ES_tradnl"/>
        </w:rPr>
        <w:t>l</w:t>
      </w:r>
      <w:r w:rsidRPr="000113B8">
        <w:rPr>
          <w:rFonts w:ascii="Garamond" w:eastAsia="Arial Narrow" w:hAnsi="Garamond" w:cs="Arial"/>
          <w:color w:val="000000" w:themeColor="text1"/>
          <w:spacing w:val="1"/>
          <w:lang w:val="es-ES_tradnl"/>
        </w:rPr>
        <w:t>o</w:t>
      </w:r>
      <w:r w:rsidRPr="000113B8">
        <w:rPr>
          <w:rFonts w:ascii="Garamond" w:eastAsia="Arial Narrow" w:hAnsi="Garamond" w:cs="Arial"/>
          <w:color w:val="000000" w:themeColor="text1"/>
          <w:lang w:val="es-ES_tradnl"/>
        </w:rPr>
        <w:t>s s</w:t>
      </w:r>
      <w:r w:rsidRPr="000113B8">
        <w:rPr>
          <w:rFonts w:ascii="Garamond" w:eastAsia="Arial Narrow" w:hAnsi="Garamond" w:cs="Arial"/>
          <w:color w:val="000000" w:themeColor="text1"/>
          <w:spacing w:val="1"/>
          <w:lang w:val="es-ES_tradnl"/>
        </w:rPr>
        <w:t>e</w:t>
      </w:r>
      <w:r w:rsidRPr="000113B8">
        <w:rPr>
          <w:rFonts w:ascii="Garamond" w:eastAsia="Arial Narrow" w:hAnsi="Garamond" w:cs="Arial"/>
          <w:color w:val="000000" w:themeColor="text1"/>
          <w:lang w:val="es-ES_tradnl"/>
        </w:rPr>
        <w:t>rv</w:t>
      </w:r>
      <w:r w:rsidRPr="000113B8">
        <w:rPr>
          <w:rFonts w:ascii="Garamond" w:eastAsia="Arial Narrow" w:hAnsi="Garamond" w:cs="Arial"/>
          <w:color w:val="000000" w:themeColor="text1"/>
          <w:spacing w:val="-1"/>
          <w:lang w:val="es-ES_tradnl"/>
        </w:rPr>
        <w:t>i</w:t>
      </w:r>
      <w:r w:rsidRPr="000113B8">
        <w:rPr>
          <w:rFonts w:ascii="Garamond" w:eastAsia="Arial Narrow" w:hAnsi="Garamond" w:cs="Arial"/>
          <w:color w:val="000000" w:themeColor="text1"/>
          <w:lang w:val="es-ES_tradnl"/>
        </w:rPr>
        <w:t>cios</w:t>
      </w:r>
      <w:r w:rsidRPr="000113B8">
        <w:rPr>
          <w:rFonts w:ascii="Garamond" w:eastAsia="Arial Narrow" w:hAnsi="Garamond" w:cs="Arial"/>
          <w:color w:val="000000" w:themeColor="text1"/>
          <w:spacing w:val="4"/>
          <w:lang w:val="es-ES_tradnl"/>
        </w:rPr>
        <w:t xml:space="preserve"> </w:t>
      </w:r>
      <w:r w:rsidRPr="000113B8">
        <w:rPr>
          <w:rFonts w:ascii="Garamond" w:eastAsia="Arial Narrow" w:hAnsi="Garamond" w:cs="Arial"/>
          <w:color w:val="000000" w:themeColor="text1"/>
          <w:spacing w:val="1"/>
          <w:lang w:val="es-ES_tradnl"/>
        </w:rPr>
        <w:t>p</w:t>
      </w:r>
      <w:r w:rsidRPr="000113B8">
        <w:rPr>
          <w:rFonts w:ascii="Garamond" w:eastAsia="Arial Narrow" w:hAnsi="Garamond" w:cs="Arial"/>
          <w:color w:val="000000" w:themeColor="text1"/>
          <w:lang w:val="es-ES_tradnl"/>
        </w:rPr>
        <w:t>ro</w:t>
      </w:r>
      <w:r w:rsidRPr="000113B8">
        <w:rPr>
          <w:rFonts w:ascii="Garamond" w:eastAsia="Arial Narrow" w:hAnsi="Garamond" w:cs="Arial"/>
          <w:color w:val="000000" w:themeColor="text1"/>
          <w:spacing w:val="-2"/>
          <w:lang w:val="es-ES_tradnl"/>
        </w:rPr>
        <w:t>f</w:t>
      </w:r>
      <w:r w:rsidRPr="000113B8">
        <w:rPr>
          <w:rFonts w:ascii="Garamond" w:eastAsia="Arial Narrow" w:hAnsi="Garamond" w:cs="Arial"/>
          <w:color w:val="000000" w:themeColor="text1"/>
          <w:spacing w:val="1"/>
          <w:lang w:val="es-ES_tradnl"/>
        </w:rPr>
        <w:t>e</w:t>
      </w:r>
      <w:r w:rsidRPr="000113B8">
        <w:rPr>
          <w:rFonts w:ascii="Garamond" w:eastAsia="Arial Narrow" w:hAnsi="Garamond" w:cs="Arial"/>
          <w:color w:val="000000" w:themeColor="text1"/>
          <w:lang w:val="es-ES_tradnl"/>
        </w:rPr>
        <w:t>sio</w:t>
      </w:r>
      <w:r w:rsidRPr="000113B8">
        <w:rPr>
          <w:rFonts w:ascii="Garamond" w:eastAsia="Arial Narrow" w:hAnsi="Garamond" w:cs="Arial"/>
          <w:color w:val="000000" w:themeColor="text1"/>
          <w:spacing w:val="-1"/>
          <w:lang w:val="es-ES_tradnl"/>
        </w:rPr>
        <w:t>n</w:t>
      </w:r>
      <w:r w:rsidRPr="000113B8">
        <w:rPr>
          <w:rFonts w:ascii="Garamond" w:eastAsia="Arial Narrow" w:hAnsi="Garamond" w:cs="Arial"/>
          <w:color w:val="000000" w:themeColor="text1"/>
          <w:spacing w:val="1"/>
          <w:lang w:val="es-ES_tradnl"/>
        </w:rPr>
        <w:t>a</w:t>
      </w:r>
      <w:r w:rsidRPr="000113B8">
        <w:rPr>
          <w:rFonts w:ascii="Garamond" w:eastAsia="Arial Narrow" w:hAnsi="Garamond" w:cs="Arial"/>
          <w:color w:val="000000" w:themeColor="text1"/>
          <w:lang w:val="es-ES_tradnl"/>
        </w:rPr>
        <w:t>les,</w:t>
      </w:r>
      <w:r w:rsidRPr="000113B8">
        <w:rPr>
          <w:rFonts w:ascii="Garamond" w:eastAsia="Arial Narrow" w:hAnsi="Garamond" w:cs="Arial"/>
          <w:color w:val="000000" w:themeColor="text1"/>
          <w:spacing w:val="-1"/>
          <w:lang w:val="es-ES_tradnl"/>
        </w:rPr>
        <w:t xml:space="preserve"> </w:t>
      </w:r>
      <w:r w:rsidRPr="000113B8">
        <w:rPr>
          <w:rFonts w:ascii="Garamond" w:eastAsia="Arial Narrow" w:hAnsi="Garamond" w:cs="Arial"/>
          <w:color w:val="000000" w:themeColor="text1"/>
          <w:spacing w:val="1"/>
          <w:lang w:val="es-ES_tradnl"/>
        </w:rPr>
        <w:t>e</w:t>
      </w:r>
      <w:r w:rsidRPr="000113B8">
        <w:rPr>
          <w:rFonts w:ascii="Garamond" w:eastAsia="Arial Narrow" w:hAnsi="Garamond" w:cs="Arial"/>
          <w:color w:val="000000" w:themeColor="text1"/>
          <w:lang w:val="es-ES_tradnl"/>
        </w:rPr>
        <w:t>l G</w:t>
      </w:r>
      <w:r w:rsidRPr="000113B8">
        <w:rPr>
          <w:rFonts w:ascii="Garamond" w:eastAsia="Arial Narrow" w:hAnsi="Garamond" w:cs="Arial"/>
          <w:color w:val="000000" w:themeColor="text1"/>
          <w:spacing w:val="1"/>
          <w:lang w:val="es-ES_tradnl"/>
        </w:rPr>
        <w:t>ob</w:t>
      </w:r>
      <w:r w:rsidRPr="000113B8">
        <w:rPr>
          <w:rFonts w:ascii="Garamond" w:eastAsia="Arial Narrow" w:hAnsi="Garamond" w:cs="Arial"/>
          <w:color w:val="000000" w:themeColor="text1"/>
          <w:spacing w:val="-3"/>
          <w:lang w:val="es-ES_tradnl"/>
        </w:rPr>
        <w:t>i</w:t>
      </w:r>
      <w:r w:rsidRPr="000113B8">
        <w:rPr>
          <w:rFonts w:ascii="Garamond" w:eastAsia="Arial Narrow" w:hAnsi="Garamond" w:cs="Arial"/>
          <w:color w:val="000000" w:themeColor="text1"/>
          <w:spacing w:val="1"/>
          <w:lang w:val="es-ES_tradnl"/>
        </w:rPr>
        <w:t>e</w:t>
      </w:r>
      <w:r w:rsidRPr="000113B8">
        <w:rPr>
          <w:rFonts w:ascii="Garamond" w:eastAsia="Arial Narrow" w:hAnsi="Garamond" w:cs="Arial"/>
          <w:color w:val="000000" w:themeColor="text1"/>
          <w:lang w:val="es-ES_tradnl"/>
        </w:rPr>
        <w:t>rn</w:t>
      </w:r>
      <w:r w:rsidRPr="000113B8">
        <w:rPr>
          <w:rFonts w:ascii="Garamond" w:eastAsia="Arial Narrow" w:hAnsi="Garamond" w:cs="Arial"/>
          <w:color w:val="000000" w:themeColor="text1"/>
          <w:spacing w:val="1"/>
          <w:lang w:val="es-ES_tradnl"/>
        </w:rPr>
        <w:t>o</w:t>
      </w:r>
      <w:r w:rsidRPr="000113B8">
        <w:rPr>
          <w:rFonts w:ascii="Garamond" w:eastAsia="Arial Narrow" w:hAnsi="Garamond" w:cs="Arial"/>
          <w:color w:val="000000" w:themeColor="text1"/>
          <w:lang w:val="es-ES_tradnl"/>
        </w:rPr>
        <w:t>,</w:t>
      </w:r>
      <w:r w:rsidRPr="000113B8">
        <w:rPr>
          <w:rFonts w:ascii="Garamond" w:eastAsia="Arial Narrow" w:hAnsi="Garamond" w:cs="Arial"/>
          <w:color w:val="000000" w:themeColor="text1"/>
          <w:spacing w:val="-1"/>
          <w:lang w:val="es-ES_tradnl"/>
        </w:rPr>
        <w:t xml:space="preserve"> </w:t>
      </w:r>
      <w:r w:rsidRPr="000113B8">
        <w:rPr>
          <w:rFonts w:ascii="Garamond" w:eastAsia="Arial Narrow" w:hAnsi="Garamond" w:cs="Arial"/>
          <w:color w:val="000000" w:themeColor="text1"/>
          <w:spacing w:val="1"/>
          <w:lang w:val="es-ES_tradnl"/>
        </w:rPr>
        <w:t>e</w:t>
      </w:r>
      <w:r w:rsidRPr="000113B8">
        <w:rPr>
          <w:rFonts w:ascii="Garamond" w:eastAsia="Arial Narrow" w:hAnsi="Garamond" w:cs="Arial"/>
          <w:color w:val="000000" w:themeColor="text1"/>
          <w:lang w:val="es-ES_tradnl"/>
        </w:rPr>
        <w:t>t</w:t>
      </w:r>
      <w:r w:rsidRPr="000113B8">
        <w:rPr>
          <w:rFonts w:ascii="Garamond" w:eastAsia="Arial Narrow" w:hAnsi="Garamond" w:cs="Arial"/>
          <w:color w:val="000000" w:themeColor="text1"/>
          <w:spacing w:val="3"/>
          <w:lang w:val="es-ES_tradnl"/>
        </w:rPr>
        <w:t>c</w:t>
      </w:r>
      <w:r w:rsidRPr="000113B8">
        <w:rPr>
          <w:rFonts w:ascii="Garamond" w:eastAsia="Arial Narrow" w:hAnsi="Garamond" w:cs="Arial"/>
          <w:color w:val="000000" w:themeColor="text1"/>
          <w:lang w:val="es-ES_tradnl"/>
        </w:rPr>
        <w:t>.</w:t>
      </w:r>
    </w:p>
    <w:p w14:paraId="623F26E6" w14:textId="77777777" w:rsidR="00C0220B" w:rsidRPr="000113B8" w:rsidRDefault="00C0220B" w:rsidP="00C0220B">
      <w:pPr>
        <w:contextualSpacing/>
        <w:jc w:val="both"/>
        <w:rPr>
          <w:rFonts w:ascii="Garamond" w:hAnsi="Garamond" w:cs="Arial"/>
          <w:color w:val="000000" w:themeColor="text1"/>
          <w:lang w:val="es-ES_tradnl"/>
        </w:rPr>
      </w:pPr>
    </w:p>
    <w:p w14:paraId="2BC4295C" w14:textId="77777777" w:rsidR="00C0220B" w:rsidRPr="000113B8" w:rsidRDefault="00C0220B" w:rsidP="00C0220B">
      <w:pPr>
        <w:ind w:right="104"/>
        <w:contextualSpacing/>
        <w:jc w:val="both"/>
        <w:rPr>
          <w:rFonts w:ascii="Garamond" w:eastAsia="Arial Narrow" w:hAnsi="Garamond" w:cs="Arial"/>
          <w:color w:val="000000" w:themeColor="text1"/>
          <w:lang w:val="es-ES_tradnl"/>
        </w:rPr>
      </w:pPr>
      <w:r w:rsidRPr="000113B8">
        <w:rPr>
          <w:rFonts w:ascii="Garamond" w:hAnsi="Garamond" w:cs="Arial"/>
          <w:color w:val="000000" w:themeColor="text1"/>
          <w:lang w:val="es-ES_tradnl"/>
        </w:rPr>
        <w:t>En ese sentido, es</w:t>
      </w:r>
      <w:r w:rsidRPr="000113B8">
        <w:rPr>
          <w:rFonts w:ascii="Garamond" w:eastAsia="Arial Narrow" w:hAnsi="Garamond" w:cs="Arial"/>
          <w:color w:val="000000" w:themeColor="text1"/>
          <w:lang w:val="es-ES_tradnl"/>
        </w:rPr>
        <w:t xml:space="preserve"> común que las actividades económicas se diferencien aún más dependiendo de su particularidad. Lo anterior da origen a los siguientes sectores económicos, los cuales son:</w:t>
      </w:r>
    </w:p>
    <w:p w14:paraId="1F73862A" w14:textId="77777777" w:rsidR="00C0220B" w:rsidRPr="000113B8" w:rsidRDefault="00C0220B" w:rsidP="00C0220B">
      <w:pPr>
        <w:ind w:right="104"/>
        <w:contextualSpacing/>
        <w:jc w:val="both"/>
        <w:rPr>
          <w:rFonts w:ascii="Garamond" w:eastAsia="Arial Narrow" w:hAnsi="Garamond" w:cs="Arial"/>
          <w:color w:val="000000" w:themeColor="text1"/>
          <w:lang w:val="es-ES_tradnl"/>
        </w:rPr>
      </w:pPr>
    </w:p>
    <w:p w14:paraId="2DEEC7A2" w14:textId="77777777" w:rsidR="00C0220B" w:rsidRPr="000113B8" w:rsidRDefault="00C0220B" w:rsidP="00C54B99">
      <w:pPr>
        <w:pStyle w:val="Prrafodelista"/>
        <w:widowControl/>
        <w:numPr>
          <w:ilvl w:val="0"/>
          <w:numId w:val="13"/>
        </w:numPr>
        <w:autoSpaceDE/>
        <w:autoSpaceDN/>
        <w:spacing w:before="0"/>
        <w:ind w:right="104"/>
        <w:contextualSpacing/>
        <w:jc w:val="both"/>
        <w:rPr>
          <w:rFonts w:ascii="Garamond" w:eastAsia="Arial Narrow" w:hAnsi="Garamond" w:cs="Arial"/>
          <w:color w:val="000000" w:themeColor="text1"/>
        </w:rPr>
      </w:pPr>
      <w:r w:rsidRPr="000113B8">
        <w:rPr>
          <w:rFonts w:ascii="Garamond" w:eastAsia="Arial Narrow" w:hAnsi="Garamond" w:cs="Arial"/>
          <w:b/>
          <w:bCs/>
          <w:color w:val="000000" w:themeColor="text1"/>
        </w:rPr>
        <w:lastRenderedPageBreak/>
        <w:t xml:space="preserve">Sector transporte: </w:t>
      </w:r>
      <w:r w:rsidRPr="000113B8">
        <w:rPr>
          <w:rFonts w:ascii="Garamond" w:eastAsia="Arial Narrow" w:hAnsi="Garamond" w:cs="Arial"/>
          <w:color w:val="000000" w:themeColor="text1"/>
        </w:rPr>
        <w:t>Hace parte del sector terciario, e incluye el trasporte de carga, servicio de trasporte público, trasporte terrestre, aéreo, marítimo, etc.</w:t>
      </w:r>
    </w:p>
    <w:p w14:paraId="3C6D6B8B" w14:textId="77777777" w:rsidR="00C0220B" w:rsidRPr="000113B8" w:rsidRDefault="00C0220B" w:rsidP="00C54B99">
      <w:pPr>
        <w:pStyle w:val="Prrafodelista"/>
        <w:widowControl/>
        <w:numPr>
          <w:ilvl w:val="0"/>
          <w:numId w:val="13"/>
        </w:numPr>
        <w:autoSpaceDE/>
        <w:autoSpaceDN/>
        <w:spacing w:before="0"/>
        <w:ind w:right="104"/>
        <w:contextualSpacing/>
        <w:jc w:val="both"/>
        <w:rPr>
          <w:rFonts w:ascii="Garamond" w:eastAsia="Arial Narrow" w:hAnsi="Garamond" w:cs="Arial"/>
          <w:color w:val="000000" w:themeColor="text1"/>
        </w:rPr>
      </w:pPr>
      <w:r w:rsidRPr="000113B8">
        <w:rPr>
          <w:rFonts w:ascii="Garamond" w:eastAsia="Arial Narrow" w:hAnsi="Garamond" w:cs="Arial"/>
          <w:b/>
          <w:bCs/>
          <w:color w:val="000000" w:themeColor="text1"/>
        </w:rPr>
        <w:t>Sector de comunicaciones:</w:t>
      </w:r>
      <w:r w:rsidRPr="000113B8">
        <w:rPr>
          <w:rFonts w:ascii="Garamond" w:eastAsia="Arial Narrow" w:hAnsi="Garamond" w:cs="Arial"/>
          <w:color w:val="000000" w:themeColor="text1"/>
        </w:rPr>
        <w:t xml:space="preserve"> En este sector se incluyen todas las empresas y organizaciones relacionadas con los medios de comunicación como (telefonía fija y celular, empresas de publicidad, periódicos, editoriales, etc.</w:t>
      </w:r>
      <w:r w:rsidRPr="000113B8">
        <w:rPr>
          <w:rStyle w:val="Refdenotaalpie"/>
          <w:rFonts w:ascii="Garamond" w:eastAsia="Arial Narrow" w:hAnsi="Garamond" w:cs="Arial"/>
          <w:color w:val="000000" w:themeColor="text1"/>
        </w:rPr>
        <w:footnoteReference w:id="1"/>
      </w:r>
      <w:r w:rsidRPr="000113B8">
        <w:rPr>
          <w:rFonts w:ascii="Garamond" w:eastAsia="Arial Narrow" w:hAnsi="Garamond" w:cs="Arial"/>
          <w:color w:val="000000" w:themeColor="text1"/>
        </w:rPr>
        <w:t xml:space="preserve"> </w:t>
      </w:r>
    </w:p>
    <w:p w14:paraId="4CC3773B" w14:textId="77777777" w:rsidR="00C0220B" w:rsidRPr="000113B8" w:rsidRDefault="00C0220B" w:rsidP="00C54B99">
      <w:pPr>
        <w:pStyle w:val="Prrafodelista"/>
        <w:widowControl/>
        <w:numPr>
          <w:ilvl w:val="0"/>
          <w:numId w:val="13"/>
        </w:numPr>
        <w:autoSpaceDE/>
        <w:autoSpaceDN/>
        <w:spacing w:before="0"/>
        <w:ind w:right="104"/>
        <w:contextualSpacing/>
        <w:jc w:val="both"/>
        <w:rPr>
          <w:rFonts w:ascii="Garamond" w:eastAsia="Arial Narrow" w:hAnsi="Garamond" w:cs="Arial"/>
          <w:color w:val="000000" w:themeColor="text1"/>
        </w:rPr>
      </w:pPr>
      <w:r w:rsidRPr="000113B8">
        <w:rPr>
          <w:rFonts w:ascii="Garamond" w:eastAsia="Arial Narrow" w:hAnsi="Garamond" w:cs="Arial"/>
          <w:b/>
          <w:bCs/>
          <w:color w:val="000000" w:themeColor="text1"/>
        </w:rPr>
        <w:t>Sector comercio:</w:t>
      </w:r>
      <w:r w:rsidRPr="000113B8">
        <w:rPr>
          <w:rFonts w:ascii="Garamond" w:eastAsia="Arial Narrow" w:hAnsi="Garamond" w:cs="Arial"/>
          <w:color w:val="000000" w:themeColor="text1"/>
        </w:rPr>
        <w:t xml:space="preserve"> Hace parte del sector terciario de la economía, e incluye comercio al por mayor, minorista, centros comerciales, cámaras de comercio, san Andresito, plazas de mercado y en general, a todos aquellos que se relacionan con la actividad de comercio de diversos productos a nivel nacional o internacional. </w:t>
      </w:r>
    </w:p>
    <w:p w14:paraId="01C1F412" w14:textId="77777777" w:rsidR="00C0220B" w:rsidRPr="000113B8" w:rsidRDefault="00C0220B" w:rsidP="00C54B99">
      <w:pPr>
        <w:pStyle w:val="Prrafodelista"/>
        <w:widowControl/>
        <w:numPr>
          <w:ilvl w:val="0"/>
          <w:numId w:val="13"/>
        </w:numPr>
        <w:autoSpaceDE/>
        <w:autoSpaceDN/>
        <w:spacing w:before="0"/>
        <w:ind w:right="104"/>
        <w:contextualSpacing/>
        <w:jc w:val="both"/>
        <w:rPr>
          <w:rFonts w:ascii="Garamond" w:eastAsia="Arial Narrow" w:hAnsi="Garamond" w:cs="Arial"/>
          <w:color w:val="000000" w:themeColor="text1"/>
        </w:rPr>
      </w:pPr>
      <w:r w:rsidRPr="000113B8">
        <w:rPr>
          <w:rFonts w:ascii="Garamond" w:eastAsia="Arial Narrow" w:hAnsi="Garamond" w:cs="Arial"/>
          <w:b/>
          <w:bCs/>
          <w:color w:val="000000" w:themeColor="text1"/>
        </w:rPr>
        <w:t>Sector financiero:</w:t>
      </w:r>
      <w:r w:rsidRPr="000113B8">
        <w:rPr>
          <w:rFonts w:ascii="Garamond" w:eastAsia="Arial Narrow" w:hAnsi="Garamond" w:cs="Arial"/>
          <w:color w:val="000000" w:themeColor="text1"/>
        </w:rPr>
        <w:t xml:space="preserve"> En este sector se incluyen todas aquellas organizaciones relacionadas con actividades bancarias y financieras, fondos de pensiones y cesantías, fiduciarias, SEGUROS, etc.</w:t>
      </w:r>
    </w:p>
    <w:p w14:paraId="08BCFDA8" w14:textId="77777777" w:rsidR="00C0220B" w:rsidRPr="000113B8" w:rsidRDefault="00C0220B" w:rsidP="00C0220B">
      <w:pPr>
        <w:ind w:left="10" w:right="104"/>
        <w:contextualSpacing/>
        <w:jc w:val="both"/>
        <w:rPr>
          <w:rFonts w:ascii="Garamond" w:eastAsia="Arial Narrow" w:hAnsi="Garamond" w:cs="Arial"/>
          <w:color w:val="000000" w:themeColor="text1"/>
          <w:lang w:val="es-ES_tradnl"/>
        </w:rPr>
      </w:pPr>
    </w:p>
    <w:p w14:paraId="555BC277" w14:textId="77777777" w:rsidR="00C0220B" w:rsidRPr="000113B8" w:rsidRDefault="00C0220B" w:rsidP="00C0220B">
      <w:pPr>
        <w:ind w:left="10" w:right="104"/>
        <w:contextualSpacing/>
        <w:jc w:val="both"/>
        <w:rPr>
          <w:rFonts w:ascii="Garamond" w:eastAsia="Arial Narrow" w:hAnsi="Garamond" w:cs="Arial"/>
          <w:color w:val="000000" w:themeColor="text1"/>
          <w:lang w:val="es-ES_tradnl"/>
        </w:rPr>
      </w:pPr>
      <w:r w:rsidRPr="000113B8">
        <w:rPr>
          <w:rFonts w:ascii="Garamond" w:eastAsia="Arial Narrow" w:hAnsi="Garamond" w:cs="Arial"/>
          <w:color w:val="000000" w:themeColor="text1"/>
          <w:lang w:val="es-ES_tradnl"/>
        </w:rPr>
        <w:t xml:space="preserve">Consecuente con lo anterior y con el propósito de observar lo dispuesto en el artículo 2.2.1.2.1.5.1 del Decreto 1082 de 2015, en relación con el estudio de mercado, </w:t>
      </w:r>
      <w:r w:rsidRPr="000113B8">
        <w:rPr>
          <w:rFonts w:ascii="Garamond" w:hAnsi="Garamond" w:cs="Arial"/>
          <w:color w:val="000000" w:themeColor="text1"/>
        </w:rPr>
        <w:t xml:space="preserve">se </w:t>
      </w:r>
      <w:r w:rsidRPr="000113B8">
        <w:rPr>
          <w:rFonts w:ascii="Garamond" w:eastAsia="Arial Narrow" w:hAnsi="Garamond" w:cs="Arial"/>
          <w:color w:val="000000" w:themeColor="text1"/>
          <w:lang w:val="es-ES_tradnl"/>
        </w:rPr>
        <w:t xml:space="preserve">identificó que el sector relativo al objeto de la presente contratación está integrado por el conjunto de empresas pertenecientes al sector terciario o de servicios, que incluye todas aquellas actividades que no producen una mercancía en sí, pero que son necesarios para el funcionamiento de la economía. Específicamente, se trata del sector </w:t>
      </w:r>
      <w:r w:rsidRPr="000113B8">
        <w:rPr>
          <w:rFonts w:ascii="Garamond" w:eastAsia="Arial Narrow" w:hAnsi="Garamond" w:cs="Arial"/>
          <w:b/>
          <w:color w:val="000000" w:themeColor="text1"/>
          <w:lang w:val="es-ES_tradnl"/>
        </w:rPr>
        <w:t>SEGUROS</w:t>
      </w:r>
      <w:r w:rsidRPr="000113B8">
        <w:rPr>
          <w:rFonts w:ascii="Garamond" w:eastAsia="Arial Narrow" w:hAnsi="Garamond" w:cs="Arial"/>
          <w:color w:val="000000" w:themeColor="text1"/>
          <w:lang w:val="es-ES_tradnl"/>
        </w:rPr>
        <w:t>.</w:t>
      </w:r>
    </w:p>
    <w:p w14:paraId="3C40350D" w14:textId="77777777" w:rsidR="00C0220B" w:rsidRPr="000113B8" w:rsidRDefault="00C0220B" w:rsidP="00C0220B">
      <w:pPr>
        <w:ind w:right="104"/>
        <w:contextualSpacing/>
        <w:jc w:val="both"/>
        <w:rPr>
          <w:rFonts w:ascii="Garamond" w:eastAsia="Arial Narrow" w:hAnsi="Garamond" w:cs="Arial"/>
          <w:color w:val="000000" w:themeColor="text1"/>
          <w:lang w:val="es-ES_tradnl"/>
        </w:rPr>
      </w:pPr>
    </w:p>
    <w:p w14:paraId="063FF883" w14:textId="4A38D915" w:rsidR="00C0220B" w:rsidRPr="000113B8" w:rsidRDefault="00C0220B" w:rsidP="00C0220B">
      <w:pPr>
        <w:jc w:val="both"/>
        <w:rPr>
          <w:rFonts w:ascii="Garamond" w:hAnsi="Garamond" w:cs="Arial"/>
          <w:color w:val="000000" w:themeColor="text1"/>
        </w:rPr>
      </w:pPr>
      <w:r w:rsidRPr="000113B8">
        <w:rPr>
          <w:rFonts w:ascii="Garamond" w:hAnsi="Garamond" w:cs="Arial"/>
          <w:color w:val="000000" w:themeColor="text1"/>
        </w:rPr>
        <w:t>Es importante mencionar que, dentro del ámbito organizacional, en la clasificación industrial internacional uniforme de todas las actividades económicas, revisión cuarta adaptada para Colombia (CIIU Rev. 4 A.C.)</w:t>
      </w:r>
      <w:r w:rsidRPr="000113B8">
        <w:rPr>
          <w:rFonts w:ascii="Garamond" w:hAnsi="Garamond" w:cs="Arial"/>
          <w:color w:val="000000" w:themeColor="text1"/>
          <w:vertAlign w:val="superscript"/>
        </w:rPr>
        <w:footnoteReference w:id="2"/>
      </w:r>
      <w:r w:rsidRPr="000113B8">
        <w:rPr>
          <w:rFonts w:ascii="Garamond" w:hAnsi="Garamond" w:cs="Arial"/>
          <w:color w:val="000000" w:themeColor="text1"/>
        </w:rPr>
        <w:t>, las personas jurídicas</w:t>
      </w:r>
      <w:r w:rsidR="00F739F3">
        <w:rPr>
          <w:rFonts w:ascii="Garamond" w:hAnsi="Garamond" w:cs="Arial"/>
          <w:color w:val="000000" w:themeColor="text1"/>
        </w:rPr>
        <w:t xml:space="preserve">, </w:t>
      </w:r>
      <w:r w:rsidRPr="000113B8">
        <w:rPr>
          <w:rFonts w:ascii="Garamond" w:hAnsi="Garamond" w:cs="Arial"/>
          <w:color w:val="000000" w:themeColor="text1"/>
        </w:rPr>
        <w:t>compañías de seguros que pueden desarrollar el objeto del proceso de selección se clasifican en los siguientes códigos que desarrollan actividades de seguros:</w:t>
      </w:r>
    </w:p>
    <w:p w14:paraId="5F2D6353" w14:textId="77777777" w:rsidR="00C0220B" w:rsidRPr="000113B8" w:rsidRDefault="00C0220B" w:rsidP="00C0220B">
      <w:pPr>
        <w:jc w:val="both"/>
        <w:rPr>
          <w:rFonts w:ascii="Garamond" w:hAnsi="Garamond" w:cs="Arial"/>
          <w:color w:val="000000" w:themeColor="text1"/>
        </w:rPr>
      </w:pPr>
    </w:p>
    <w:p w14:paraId="6B4847A8" w14:textId="377EEAB3" w:rsidR="00C0220B" w:rsidRPr="000113B8" w:rsidRDefault="00EB1D7D" w:rsidP="00C54B99">
      <w:pPr>
        <w:pStyle w:val="Prrafodelista"/>
        <w:widowControl/>
        <w:numPr>
          <w:ilvl w:val="1"/>
          <w:numId w:val="2"/>
        </w:numPr>
        <w:pBdr>
          <w:top w:val="nil"/>
          <w:left w:val="nil"/>
          <w:bottom w:val="nil"/>
          <w:right w:val="nil"/>
          <w:between w:val="nil"/>
        </w:pBdr>
        <w:suppressAutoHyphens/>
        <w:autoSpaceDE/>
        <w:autoSpaceDN/>
        <w:jc w:val="both"/>
        <w:rPr>
          <w:rFonts w:ascii="Garamond" w:hAnsi="Garamond" w:cs="Arial"/>
          <w:b/>
          <w:color w:val="000000" w:themeColor="text1"/>
        </w:rPr>
      </w:pPr>
      <w:r w:rsidRPr="000113B8">
        <w:rPr>
          <w:rFonts w:ascii="Garamond" w:hAnsi="Garamond" w:cs="Arial"/>
          <w:b/>
          <w:color w:val="000000" w:themeColor="text1"/>
        </w:rPr>
        <w:t>ACTIVIDADES FINANCIERAS Y DE SEGUROS</w:t>
      </w:r>
    </w:p>
    <w:p w14:paraId="4EF1F66F" w14:textId="77777777" w:rsidR="00C0220B" w:rsidRPr="000113B8" w:rsidRDefault="00C0220B" w:rsidP="00C0220B">
      <w:pPr>
        <w:pBdr>
          <w:top w:val="nil"/>
          <w:left w:val="nil"/>
          <w:bottom w:val="nil"/>
          <w:right w:val="nil"/>
          <w:between w:val="nil"/>
        </w:pBdr>
        <w:ind w:left="720"/>
        <w:jc w:val="both"/>
        <w:rPr>
          <w:rFonts w:ascii="Garamond" w:hAnsi="Garamond" w:cs="Arial"/>
          <w:b/>
          <w:color w:val="000000" w:themeColor="text1"/>
        </w:rPr>
      </w:pPr>
    </w:p>
    <w:p w14:paraId="3387EAA6" w14:textId="77777777" w:rsidR="00C0220B" w:rsidRPr="000113B8" w:rsidRDefault="00C0220B" w:rsidP="00C0220B">
      <w:pPr>
        <w:pBdr>
          <w:top w:val="nil"/>
          <w:left w:val="nil"/>
          <w:bottom w:val="nil"/>
          <w:right w:val="nil"/>
          <w:between w:val="nil"/>
        </w:pBdr>
        <w:jc w:val="both"/>
        <w:rPr>
          <w:rFonts w:ascii="Garamond" w:hAnsi="Garamond" w:cs="Arial"/>
          <w:color w:val="000000" w:themeColor="text1"/>
        </w:rPr>
      </w:pPr>
      <w:r w:rsidRPr="000113B8">
        <w:rPr>
          <w:rFonts w:ascii="Garamond" w:hAnsi="Garamond" w:cs="Arial"/>
          <w:color w:val="000000" w:themeColor="text1"/>
        </w:rPr>
        <w:t>Esta categoría incluye actividades de servicio financiero, seguros, reaseguros y actividades de fondos de pensiones y actividades de apoyo a los servicios financieros. Incluye las actividades de control de activos, tales como actividades de compañías controladoras (holding) y las actividades de fideicomisos, fondos y otros medios financieros.</w:t>
      </w:r>
    </w:p>
    <w:p w14:paraId="0041B27B" w14:textId="77777777" w:rsidR="00C0220B" w:rsidRPr="000113B8" w:rsidRDefault="00C0220B" w:rsidP="00C0220B">
      <w:pPr>
        <w:pBdr>
          <w:top w:val="nil"/>
          <w:left w:val="nil"/>
          <w:bottom w:val="nil"/>
          <w:right w:val="nil"/>
          <w:between w:val="nil"/>
        </w:pBdr>
        <w:jc w:val="both"/>
        <w:rPr>
          <w:rFonts w:ascii="Garamond" w:hAnsi="Garamond" w:cs="Arial"/>
          <w:color w:val="000000" w:themeColor="text1"/>
        </w:rPr>
      </w:pPr>
    </w:p>
    <w:p w14:paraId="7368D9CB" w14:textId="77777777" w:rsidR="00C0220B" w:rsidRPr="000113B8" w:rsidRDefault="00C0220B" w:rsidP="00C0220B">
      <w:pPr>
        <w:pBdr>
          <w:top w:val="nil"/>
          <w:left w:val="nil"/>
          <w:bottom w:val="nil"/>
          <w:right w:val="nil"/>
          <w:between w:val="nil"/>
        </w:pBdr>
        <w:jc w:val="both"/>
        <w:rPr>
          <w:rFonts w:ascii="Garamond" w:hAnsi="Garamond" w:cs="Arial"/>
          <w:color w:val="000000" w:themeColor="text1"/>
        </w:rPr>
      </w:pPr>
      <w:r w:rsidRPr="000113B8">
        <w:rPr>
          <w:rFonts w:ascii="Garamond" w:hAnsi="Garamond" w:cs="Arial"/>
          <w:b/>
          <w:bCs/>
          <w:color w:val="000000" w:themeColor="text1"/>
        </w:rPr>
        <w:t>65 División:</w:t>
      </w:r>
      <w:r w:rsidRPr="000113B8">
        <w:rPr>
          <w:rFonts w:ascii="Garamond" w:hAnsi="Garamond" w:cs="Arial"/>
          <w:color w:val="000000" w:themeColor="text1"/>
        </w:rPr>
        <w:t xml:space="preserve"> Seguros, reaseguros y fondos de pensiones, excepto los planes de seguridad social de afiliación obligatoria.</w:t>
      </w:r>
    </w:p>
    <w:p w14:paraId="18783B09" w14:textId="77777777" w:rsidR="00C0220B" w:rsidRPr="000113B8" w:rsidRDefault="00C0220B" w:rsidP="00C0220B">
      <w:pPr>
        <w:pBdr>
          <w:top w:val="nil"/>
          <w:left w:val="nil"/>
          <w:bottom w:val="nil"/>
          <w:right w:val="nil"/>
          <w:between w:val="nil"/>
        </w:pBdr>
        <w:jc w:val="both"/>
        <w:rPr>
          <w:rFonts w:ascii="Garamond" w:hAnsi="Garamond" w:cs="Arial"/>
          <w:color w:val="000000" w:themeColor="text1"/>
        </w:rPr>
      </w:pPr>
    </w:p>
    <w:p w14:paraId="577D748D" w14:textId="77777777" w:rsidR="00C0220B" w:rsidRPr="000113B8" w:rsidRDefault="00C0220B" w:rsidP="00C0220B">
      <w:pPr>
        <w:pBdr>
          <w:top w:val="nil"/>
          <w:left w:val="nil"/>
          <w:bottom w:val="nil"/>
          <w:right w:val="nil"/>
          <w:between w:val="nil"/>
        </w:pBdr>
        <w:jc w:val="both"/>
        <w:rPr>
          <w:rFonts w:ascii="Garamond" w:hAnsi="Garamond" w:cs="Arial"/>
          <w:color w:val="000000" w:themeColor="text1"/>
        </w:rPr>
      </w:pPr>
      <w:r w:rsidRPr="000113B8">
        <w:rPr>
          <w:rFonts w:ascii="Garamond" w:hAnsi="Garamond" w:cs="Arial"/>
          <w:color w:val="000000" w:themeColor="text1"/>
        </w:rPr>
        <w:t>Esta división incluye: las anualidades aseguradas y las pólizas de seguro y primas de inversión que construyen un portafolio de activos financieros para ser usados en contra de futuras reclamaciones. La provisión de seguros directos y reaseguros.</w:t>
      </w:r>
    </w:p>
    <w:p w14:paraId="02ED2C7A" w14:textId="77777777" w:rsidR="00C0220B" w:rsidRPr="000113B8" w:rsidRDefault="00C0220B" w:rsidP="00C0220B">
      <w:pPr>
        <w:pBdr>
          <w:top w:val="nil"/>
          <w:left w:val="nil"/>
          <w:bottom w:val="nil"/>
          <w:right w:val="nil"/>
          <w:between w:val="nil"/>
        </w:pBdr>
        <w:jc w:val="both"/>
        <w:rPr>
          <w:rFonts w:ascii="Garamond" w:hAnsi="Garamond" w:cs="Arial"/>
          <w:color w:val="000000" w:themeColor="text1"/>
        </w:rPr>
      </w:pPr>
    </w:p>
    <w:p w14:paraId="5FD00355" w14:textId="77777777" w:rsidR="00C0220B" w:rsidRPr="000113B8" w:rsidRDefault="00C0220B" w:rsidP="00C0220B">
      <w:pPr>
        <w:pBdr>
          <w:top w:val="nil"/>
          <w:left w:val="nil"/>
          <w:bottom w:val="nil"/>
          <w:right w:val="nil"/>
          <w:between w:val="nil"/>
        </w:pBdr>
        <w:jc w:val="both"/>
        <w:rPr>
          <w:rFonts w:ascii="Garamond" w:hAnsi="Garamond" w:cs="Arial"/>
          <w:color w:val="000000" w:themeColor="text1"/>
        </w:rPr>
      </w:pPr>
      <w:r w:rsidRPr="000113B8">
        <w:rPr>
          <w:rFonts w:ascii="Garamond" w:hAnsi="Garamond" w:cs="Arial"/>
          <w:b/>
          <w:bCs/>
          <w:color w:val="000000" w:themeColor="text1"/>
        </w:rPr>
        <w:t>651 Grupo:</w:t>
      </w:r>
      <w:r w:rsidRPr="000113B8">
        <w:rPr>
          <w:rFonts w:ascii="Garamond" w:hAnsi="Garamond" w:cs="Arial"/>
          <w:color w:val="000000" w:themeColor="text1"/>
        </w:rPr>
        <w:t xml:space="preserve"> Seguros y Capitalización:</w:t>
      </w:r>
    </w:p>
    <w:p w14:paraId="4A1CCADE" w14:textId="77777777" w:rsidR="00C0220B" w:rsidRPr="000113B8" w:rsidRDefault="00C0220B" w:rsidP="00C0220B">
      <w:pPr>
        <w:pStyle w:val="Descripcin"/>
        <w:spacing w:after="0"/>
        <w:rPr>
          <w:rFonts w:ascii="Garamond" w:hAnsi="Garamond" w:cs="Arial"/>
          <w:bCs/>
          <w:iCs w:val="0"/>
          <w:color w:val="000000" w:themeColor="text1"/>
          <w:sz w:val="22"/>
          <w:szCs w:val="22"/>
        </w:rPr>
      </w:pPr>
    </w:p>
    <w:p w14:paraId="4D9F8236" w14:textId="77777777" w:rsidR="00C0220B" w:rsidRPr="000113B8" w:rsidRDefault="00C0220B" w:rsidP="00C0220B">
      <w:pPr>
        <w:pBdr>
          <w:top w:val="nil"/>
          <w:left w:val="nil"/>
          <w:bottom w:val="nil"/>
          <w:right w:val="nil"/>
          <w:between w:val="nil"/>
        </w:pBdr>
        <w:jc w:val="center"/>
        <w:rPr>
          <w:rFonts w:ascii="Garamond" w:hAnsi="Garamond" w:cs="Arial"/>
          <w:noProof/>
          <w:color w:val="000000" w:themeColor="text1"/>
        </w:rPr>
      </w:pPr>
      <w:r w:rsidRPr="000113B8">
        <w:rPr>
          <w:rFonts w:ascii="Garamond" w:hAnsi="Garamond" w:cs="Arial"/>
          <w:noProof/>
          <w:color w:val="000000" w:themeColor="text1"/>
        </w:rPr>
        <w:lastRenderedPageBreak/>
        <w:drawing>
          <wp:inline distT="0" distB="0" distL="0" distR="0" wp14:anchorId="58398C9E" wp14:editId="32D47C57">
            <wp:extent cx="5141782" cy="1540534"/>
            <wp:effectExtent l="38100" t="38100" r="40005" b="40640"/>
            <wp:docPr id="537993626" name="Imagen 90" descr="Interfaz de usuario gráfic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Interfaz de usuario gráfica&#10;&#10;El contenido generado por IA puede ser incorrecto."/>
                    <pic:cNvPicPr>
                      <a:picLocks noChangeAspect="1" noChangeArrowheads="1"/>
                    </pic:cNvPicPr>
                  </pic:nvPicPr>
                  <pic:blipFill>
                    <a:blip r:embed="rId10">
                      <a:extLst>
                        <a:ext uri="{28A0092B-C50C-407E-A947-70E740481C1C}">
                          <a14:useLocalDpi xmlns:a14="http://schemas.microsoft.com/office/drawing/2010/main" val="0"/>
                        </a:ext>
                      </a:extLst>
                    </a:blip>
                    <a:srcRect l="391" r="1459"/>
                    <a:stretch>
                      <a:fillRect/>
                    </a:stretch>
                  </pic:blipFill>
                  <pic:spPr bwMode="auto">
                    <a:xfrm>
                      <a:off x="0" y="0"/>
                      <a:ext cx="5169976" cy="1548981"/>
                    </a:xfrm>
                    <a:prstGeom prst="rect">
                      <a:avLst/>
                    </a:prstGeom>
                    <a:noFill/>
                    <a:ln w="38100" cmpd="sng">
                      <a:solidFill>
                        <a:srgbClr val="000000"/>
                      </a:solidFill>
                      <a:miter lim="800000"/>
                      <a:headEnd/>
                      <a:tailEnd/>
                    </a:ln>
                    <a:effectLst/>
                  </pic:spPr>
                </pic:pic>
              </a:graphicData>
            </a:graphic>
          </wp:inline>
        </w:drawing>
      </w:r>
      <w:bookmarkStart w:id="7" w:name="_Hlk207200290"/>
    </w:p>
    <w:p w14:paraId="7B532A1B" w14:textId="77777777" w:rsidR="00C0220B" w:rsidRPr="000113B8" w:rsidRDefault="00C0220B" w:rsidP="00C0220B">
      <w:pPr>
        <w:pBdr>
          <w:top w:val="nil"/>
          <w:left w:val="nil"/>
          <w:bottom w:val="nil"/>
          <w:right w:val="nil"/>
          <w:between w:val="nil"/>
        </w:pBdr>
        <w:jc w:val="center"/>
        <w:rPr>
          <w:rFonts w:ascii="Garamond" w:hAnsi="Garamond" w:cs="Arial"/>
          <w:color w:val="000000" w:themeColor="text1"/>
        </w:rPr>
      </w:pPr>
      <w:r w:rsidRPr="000113B8">
        <w:rPr>
          <w:rFonts w:ascii="Garamond" w:hAnsi="Garamond" w:cs="Arial"/>
          <w:color w:val="000000" w:themeColor="text1"/>
        </w:rPr>
        <w:t xml:space="preserve">Fuente: </w:t>
      </w:r>
      <w:r w:rsidRPr="000113B8">
        <w:rPr>
          <w:rFonts w:ascii="Garamond" w:eastAsia="Batang" w:hAnsi="Garamond" w:cs="Arial"/>
          <w:color w:val="000000" w:themeColor="text1"/>
        </w:rPr>
        <w:t xml:space="preserve">DANE </w:t>
      </w:r>
      <w:r w:rsidRPr="000113B8">
        <w:rPr>
          <w:rFonts w:ascii="Garamond" w:hAnsi="Garamond" w:cs="Arial"/>
          <w:color w:val="000000" w:themeColor="text1"/>
        </w:rPr>
        <w:t>- Estructura detallada CIIU 4A.C</w:t>
      </w:r>
      <w:bookmarkEnd w:id="7"/>
    </w:p>
    <w:p w14:paraId="40833B81" w14:textId="77777777" w:rsidR="00C0220B" w:rsidRPr="000113B8" w:rsidRDefault="00C0220B" w:rsidP="00C0220B">
      <w:pPr>
        <w:pBdr>
          <w:top w:val="nil"/>
          <w:left w:val="nil"/>
          <w:bottom w:val="nil"/>
          <w:right w:val="nil"/>
          <w:between w:val="nil"/>
        </w:pBdr>
        <w:jc w:val="center"/>
        <w:rPr>
          <w:rFonts w:ascii="Garamond" w:hAnsi="Garamond" w:cs="Arial"/>
          <w:color w:val="000000" w:themeColor="text1"/>
        </w:rPr>
      </w:pPr>
    </w:p>
    <w:p w14:paraId="058E9AB6" w14:textId="77777777" w:rsidR="00C0220B" w:rsidRPr="000113B8" w:rsidRDefault="00C0220B" w:rsidP="00C0220B">
      <w:pPr>
        <w:pBdr>
          <w:top w:val="nil"/>
          <w:left w:val="nil"/>
          <w:bottom w:val="nil"/>
          <w:right w:val="nil"/>
          <w:between w:val="nil"/>
        </w:pBdr>
        <w:jc w:val="both"/>
        <w:rPr>
          <w:rFonts w:ascii="Garamond" w:hAnsi="Garamond" w:cs="Arial"/>
          <w:color w:val="000000" w:themeColor="text1"/>
        </w:rPr>
      </w:pPr>
      <w:r w:rsidRPr="000113B8">
        <w:rPr>
          <w:rFonts w:ascii="Garamond" w:hAnsi="Garamond" w:cs="Arial"/>
          <w:color w:val="000000" w:themeColor="text1"/>
        </w:rPr>
        <w:t xml:space="preserve">Ahora bien, teniendo en cuenta que el contrato que se pretende celebrar tendrá por objeto </w:t>
      </w:r>
      <w:r w:rsidRPr="00F739F3">
        <w:rPr>
          <w:rFonts w:ascii="Garamond" w:hAnsi="Garamond" w:cs="Arial"/>
          <w:i/>
          <w:color w:val="000000" w:themeColor="text1"/>
        </w:rPr>
        <w:t>“CONTRATAR LA PÓLIZA DE VIDA PARA LOS EDILES DE LA JUNTA ADMINISTRADORA LOCAL DEL FONDO DE DESARROLLO RURAL DE SUMAPAZ”,</w:t>
      </w:r>
      <w:r w:rsidRPr="000113B8">
        <w:rPr>
          <w:rFonts w:ascii="Garamond" w:hAnsi="Garamond" w:cs="Arial"/>
          <w:color w:val="000000" w:themeColor="text1"/>
        </w:rPr>
        <w:t xml:space="preserve"> se precisa la información relativa a los seguros de vida.</w:t>
      </w:r>
    </w:p>
    <w:p w14:paraId="4AD1D93C" w14:textId="77777777" w:rsidR="00C0220B" w:rsidRPr="000113B8" w:rsidRDefault="00C0220B" w:rsidP="00C0220B">
      <w:pPr>
        <w:pBdr>
          <w:top w:val="nil"/>
          <w:left w:val="nil"/>
          <w:bottom w:val="nil"/>
          <w:right w:val="nil"/>
          <w:between w:val="nil"/>
        </w:pBdr>
        <w:jc w:val="both"/>
        <w:rPr>
          <w:rFonts w:ascii="Garamond" w:hAnsi="Garamond" w:cs="Arial"/>
          <w:color w:val="000000" w:themeColor="text1"/>
        </w:rPr>
      </w:pPr>
    </w:p>
    <w:p w14:paraId="6F87B793" w14:textId="77777777" w:rsidR="00C0220B" w:rsidRPr="000113B8" w:rsidRDefault="00C0220B" w:rsidP="00C0220B">
      <w:pPr>
        <w:pBdr>
          <w:top w:val="nil"/>
          <w:left w:val="nil"/>
          <w:bottom w:val="nil"/>
          <w:right w:val="nil"/>
          <w:between w:val="nil"/>
        </w:pBdr>
        <w:jc w:val="both"/>
        <w:rPr>
          <w:rFonts w:ascii="Garamond" w:hAnsi="Garamond" w:cs="Arial"/>
          <w:color w:val="000000" w:themeColor="text1"/>
        </w:rPr>
      </w:pPr>
      <w:r w:rsidRPr="000113B8">
        <w:rPr>
          <w:rFonts w:ascii="Garamond" w:hAnsi="Garamond" w:cs="Arial"/>
          <w:color w:val="000000" w:themeColor="text1"/>
        </w:rPr>
        <w:t>De acuerdo con lo anterior, la división de los seguros de vida es la siguiente:</w:t>
      </w:r>
    </w:p>
    <w:p w14:paraId="449A6801" w14:textId="77777777" w:rsidR="00C0220B" w:rsidRPr="000113B8" w:rsidRDefault="00C0220B" w:rsidP="00C0220B">
      <w:pPr>
        <w:pBdr>
          <w:top w:val="nil"/>
          <w:left w:val="nil"/>
          <w:bottom w:val="nil"/>
          <w:right w:val="nil"/>
          <w:between w:val="nil"/>
        </w:pBdr>
        <w:jc w:val="both"/>
        <w:rPr>
          <w:rFonts w:ascii="Garamond" w:hAnsi="Garamond" w:cs="Arial"/>
          <w:color w:val="000000" w:themeColor="text1"/>
        </w:rPr>
      </w:pPr>
    </w:p>
    <w:p w14:paraId="7294D3E3" w14:textId="77777777" w:rsidR="00C0220B" w:rsidRPr="000113B8" w:rsidRDefault="00C0220B" w:rsidP="00C0220B">
      <w:pPr>
        <w:pBdr>
          <w:top w:val="nil"/>
          <w:left w:val="nil"/>
          <w:bottom w:val="nil"/>
          <w:right w:val="nil"/>
          <w:between w:val="nil"/>
        </w:pBdr>
        <w:jc w:val="both"/>
        <w:rPr>
          <w:rFonts w:ascii="Garamond" w:hAnsi="Garamond" w:cs="Arial"/>
          <w:color w:val="000000" w:themeColor="text1"/>
        </w:rPr>
      </w:pPr>
      <w:r w:rsidRPr="000113B8">
        <w:rPr>
          <w:rFonts w:ascii="Garamond" w:hAnsi="Garamond" w:cs="Arial"/>
          <w:b/>
          <w:bCs/>
          <w:color w:val="000000" w:themeColor="text1"/>
        </w:rPr>
        <w:t>6512</w:t>
      </w:r>
      <w:r w:rsidRPr="000113B8">
        <w:rPr>
          <w:rFonts w:ascii="Garamond" w:hAnsi="Garamond" w:cs="Arial"/>
          <w:color w:val="000000" w:themeColor="text1"/>
        </w:rPr>
        <w:t xml:space="preserve"> </w:t>
      </w:r>
      <w:r w:rsidRPr="000113B8">
        <w:rPr>
          <w:rFonts w:ascii="Garamond" w:hAnsi="Garamond" w:cs="Arial"/>
          <w:b/>
          <w:bCs/>
          <w:color w:val="000000" w:themeColor="text1"/>
        </w:rPr>
        <w:t xml:space="preserve">Clase: </w:t>
      </w:r>
      <w:r w:rsidRPr="000113B8">
        <w:rPr>
          <w:rFonts w:ascii="Garamond" w:hAnsi="Garamond" w:cs="Arial"/>
          <w:color w:val="000000" w:themeColor="text1"/>
        </w:rPr>
        <w:t>Seguros de vida</w:t>
      </w:r>
    </w:p>
    <w:p w14:paraId="5291B063" w14:textId="77777777" w:rsidR="00C0220B" w:rsidRPr="000113B8" w:rsidRDefault="00C0220B" w:rsidP="00C0220B">
      <w:pPr>
        <w:pBdr>
          <w:top w:val="nil"/>
          <w:left w:val="nil"/>
          <w:bottom w:val="nil"/>
          <w:right w:val="nil"/>
          <w:between w:val="nil"/>
        </w:pBdr>
        <w:jc w:val="center"/>
        <w:rPr>
          <w:rFonts w:ascii="Garamond" w:hAnsi="Garamond" w:cs="Arial"/>
          <w:b/>
          <w:bCs/>
          <w:color w:val="000000" w:themeColor="text1"/>
        </w:rPr>
      </w:pPr>
    </w:p>
    <w:tbl>
      <w:tblPr>
        <w:tblW w:w="5000" w:type="pct"/>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1084"/>
        <w:gridCol w:w="2770"/>
        <w:gridCol w:w="5496"/>
      </w:tblGrid>
      <w:tr w:rsidR="009A7F8F" w:rsidRPr="000113B8" w14:paraId="1A517433" w14:textId="77777777" w:rsidTr="00EC7684">
        <w:trPr>
          <w:trHeight w:val="2263"/>
        </w:trPr>
        <w:tc>
          <w:tcPr>
            <w:tcW w:w="1088" w:type="dxa"/>
            <w:shd w:val="clear" w:color="auto" w:fill="F2F2F2"/>
            <w:vAlign w:val="center"/>
          </w:tcPr>
          <w:p w14:paraId="3A28A8CC" w14:textId="77777777" w:rsidR="00C0220B" w:rsidRPr="000113B8" w:rsidRDefault="00C0220B" w:rsidP="00EC7684">
            <w:pPr>
              <w:rPr>
                <w:rFonts w:ascii="Garamond" w:hAnsi="Garamond" w:cs="Arial"/>
                <w:b/>
                <w:bCs/>
                <w:color w:val="000000" w:themeColor="text1"/>
              </w:rPr>
            </w:pPr>
            <w:r w:rsidRPr="000113B8">
              <w:rPr>
                <w:rFonts w:ascii="Garamond" w:hAnsi="Garamond" w:cs="Arial"/>
                <w:b/>
                <w:bCs/>
                <w:color w:val="000000" w:themeColor="text1"/>
              </w:rPr>
              <w:t>6512</w:t>
            </w:r>
          </w:p>
        </w:tc>
        <w:tc>
          <w:tcPr>
            <w:tcW w:w="2786" w:type="dxa"/>
            <w:shd w:val="clear" w:color="auto" w:fill="F2F2F2"/>
            <w:vAlign w:val="center"/>
          </w:tcPr>
          <w:p w14:paraId="44E063FD" w14:textId="77777777" w:rsidR="00C0220B" w:rsidRPr="000113B8" w:rsidRDefault="00C0220B" w:rsidP="00EC7684">
            <w:pPr>
              <w:rPr>
                <w:rFonts w:ascii="Garamond" w:hAnsi="Garamond" w:cs="Arial"/>
                <w:b/>
                <w:bCs/>
                <w:color w:val="000000" w:themeColor="text1"/>
              </w:rPr>
            </w:pPr>
            <w:r w:rsidRPr="000113B8">
              <w:rPr>
                <w:rFonts w:ascii="Garamond" w:hAnsi="Garamond" w:cs="Arial"/>
                <w:b/>
                <w:bCs/>
                <w:color w:val="000000" w:themeColor="text1"/>
              </w:rPr>
              <w:t>Seguros de vida</w:t>
            </w:r>
          </w:p>
        </w:tc>
        <w:tc>
          <w:tcPr>
            <w:tcW w:w="5520" w:type="dxa"/>
            <w:shd w:val="clear" w:color="auto" w:fill="F2F2F2"/>
            <w:vAlign w:val="center"/>
          </w:tcPr>
          <w:p w14:paraId="6F68BE7E" w14:textId="77777777" w:rsidR="00C0220B" w:rsidRPr="000113B8" w:rsidRDefault="00C0220B" w:rsidP="00EC7684">
            <w:pPr>
              <w:jc w:val="both"/>
              <w:rPr>
                <w:rFonts w:ascii="Garamond" w:hAnsi="Garamond" w:cs="Arial"/>
                <w:color w:val="000000" w:themeColor="text1"/>
              </w:rPr>
            </w:pPr>
            <w:r w:rsidRPr="000113B8">
              <w:rPr>
                <w:rFonts w:ascii="Garamond" w:hAnsi="Garamond" w:cs="Arial"/>
                <w:color w:val="000000" w:themeColor="text1"/>
              </w:rPr>
              <w:t>Incluye:</w:t>
            </w:r>
          </w:p>
          <w:p w14:paraId="2060E2F5" w14:textId="77777777" w:rsidR="00C0220B" w:rsidRPr="000113B8" w:rsidRDefault="00C0220B" w:rsidP="00EC7684">
            <w:pPr>
              <w:jc w:val="both"/>
              <w:rPr>
                <w:rFonts w:ascii="Garamond" w:hAnsi="Garamond" w:cs="Arial"/>
                <w:color w:val="000000" w:themeColor="text1"/>
              </w:rPr>
            </w:pPr>
          </w:p>
          <w:p w14:paraId="3FEF9C28" w14:textId="77777777" w:rsidR="00C0220B" w:rsidRPr="000113B8" w:rsidRDefault="00C0220B" w:rsidP="00C54B99">
            <w:pPr>
              <w:widowControl/>
              <w:numPr>
                <w:ilvl w:val="0"/>
                <w:numId w:val="15"/>
              </w:numPr>
              <w:autoSpaceDE/>
              <w:autoSpaceDN/>
              <w:jc w:val="both"/>
              <w:rPr>
                <w:rFonts w:ascii="Garamond" w:hAnsi="Garamond" w:cs="Arial"/>
                <w:color w:val="000000" w:themeColor="text1"/>
              </w:rPr>
            </w:pPr>
            <w:r w:rsidRPr="000113B8">
              <w:rPr>
                <w:rFonts w:ascii="Garamond" w:hAnsi="Garamond" w:cs="Arial"/>
                <w:color w:val="000000" w:themeColor="text1"/>
              </w:rPr>
              <w:t>Los seguros de vida individual.</w:t>
            </w:r>
          </w:p>
          <w:p w14:paraId="66468B7D" w14:textId="77777777" w:rsidR="00C0220B" w:rsidRPr="000113B8" w:rsidRDefault="00C0220B" w:rsidP="00C54B99">
            <w:pPr>
              <w:widowControl/>
              <w:numPr>
                <w:ilvl w:val="0"/>
                <w:numId w:val="15"/>
              </w:numPr>
              <w:autoSpaceDE/>
              <w:autoSpaceDN/>
              <w:jc w:val="both"/>
              <w:rPr>
                <w:rFonts w:ascii="Garamond" w:hAnsi="Garamond" w:cs="Arial"/>
                <w:color w:val="000000" w:themeColor="text1"/>
              </w:rPr>
            </w:pPr>
            <w:r w:rsidRPr="000113B8">
              <w:rPr>
                <w:rFonts w:ascii="Garamond" w:hAnsi="Garamond" w:cs="Arial"/>
                <w:color w:val="000000" w:themeColor="text1"/>
              </w:rPr>
              <w:t>Los seguros colectivos de vida.</w:t>
            </w:r>
          </w:p>
          <w:p w14:paraId="3B6215E6" w14:textId="77777777" w:rsidR="00C0220B" w:rsidRPr="000113B8" w:rsidRDefault="00C0220B" w:rsidP="00C54B99">
            <w:pPr>
              <w:widowControl/>
              <w:numPr>
                <w:ilvl w:val="0"/>
                <w:numId w:val="15"/>
              </w:numPr>
              <w:autoSpaceDE/>
              <w:autoSpaceDN/>
              <w:jc w:val="both"/>
              <w:rPr>
                <w:rFonts w:ascii="Garamond" w:hAnsi="Garamond" w:cs="Arial"/>
                <w:color w:val="000000" w:themeColor="text1"/>
              </w:rPr>
            </w:pPr>
            <w:r w:rsidRPr="000113B8">
              <w:rPr>
                <w:rFonts w:ascii="Garamond" w:hAnsi="Garamond" w:cs="Arial"/>
                <w:color w:val="000000" w:themeColor="text1"/>
              </w:rPr>
              <w:t>Los seguros de exequias, entre otros.</w:t>
            </w:r>
          </w:p>
          <w:p w14:paraId="3CEEEA14" w14:textId="77777777" w:rsidR="00C0220B" w:rsidRPr="000113B8" w:rsidRDefault="00C0220B" w:rsidP="00EC7684">
            <w:pPr>
              <w:ind w:left="720"/>
              <w:jc w:val="both"/>
              <w:rPr>
                <w:rFonts w:ascii="Garamond" w:hAnsi="Garamond" w:cs="Arial"/>
                <w:color w:val="000000" w:themeColor="text1"/>
              </w:rPr>
            </w:pPr>
          </w:p>
          <w:p w14:paraId="3496CCB8" w14:textId="77777777" w:rsidR="00C0220B" w:rsidRPr="000113B8" w:rsidRDefault="00C0220B" w:rsidP="00EC7684">
            <w:pPr>
              <w:jc w:val="both"/>
              <w:rPr>
                <w:rFonts w:ascii="Garamond" w:hAnsi="Garamond" w:cs="Arial"/>
                <w:color w:val="000000" w:themeColor="text1"/>
              </w:rPr>
            </w:pPr>
            <w:r w:rsidRPr="000113B8">
              <w:rPr>
                <w:rFonts w:ascii="Garamond" w:hAnsi="Garamond" w:cs="Arial"/>
                <w:color w:val="000000" w:themeColor="text1"/>
              </w:rPr>
              <w:t>Excluye:</w:t>
            </w:r>
          </w:p>
          <w:p w14:paraId="18388550" w14:textId="77777777" w:rsidR="00C0220B" w:rsidRPr="000113B8" w:rsidRDefault="00C0220B" w:rsidP="00EC7684">
            <w:pPr>
              <w:jc w:val="both"/>
              <w:rPr>
                <w:rFonts w:ascii="Garamond" w:hAnsi="Garamond" w:cs="Arial"/>
                <w:color w:val="000000" w:themeColor="text1"/>
              </w:rPr>
            </w:pPr>
          </w:p>
          <w:p w14:paraId="4B5F1911" w14:textId="77777777" w:rsidR="00C0220B" w:rsidRPr="000113B8" w:rsidRDefault="00C0220B" w:rsidP="00C54B99">
            <w:pPr>
              <w:widowControl/>
              <w:numPr>
                <w:ilvl w:val="0"/>
                <w:numId w:val="15"/>
              </w:numPr>
              <w:autoSpaceDE/>
              <w:autoSpaceDN/>
              <w:jc w:val="both"/>
              <w:rPr>
                <w:rFonts w:ascii="Garamond" w:hAnsi="Garamond" w:cs="Arial"/>
                <w:color w:val="000000" w:themeColor="text1"/>
              </w:rPr>
            </w:pPr>
            <w:r w:rsidRPr="000113B8">
              <w:rPr>
                <w:rFonts w:ascii="Garamond" w:hAnsi="Garamond" w:cs="Arial"/>
                <w:color w:val="000000" w:themeColor="text1"/>
              </w:rPr>
              <w:t>La actividad de reaseguramiento, cuando se realiza independientemente de la actividad de los seguros. Se incluye en el </w:t>
            </w:r>
            <w:hyperlink r:id="rId11" w:history="1">
              <w:r w:rsidRPr="000113B8">
                <w:rPr>
                  <w:rStyle w:val="Hipervnculo"/>
                  <w:rFonts w:ascii="Garamond" w:hAnsi="Garamond" w:cs="Arial"/>
                  <w:color w:val="000000" w:themeColor="text1"/>
                </w:rPr>
                <w:t>código 6513</w:t>
              </w:r>
            </w:hyperlink>
            <w:r w:rsidRPr="000113B8">
              <w:rPr>
                <w:rFonts w:ascii="Garamond" w:hAnsi="Garamond" w:cs="Arial"/>
                <w:color w:val="000000" w:themeColor="text1"/>
              </w:rPr>
              <w:t>, «Reaseguros».</w:t>
            </w:r>
          </w:p>
        </w:tc>
      </w:tr>
    </w:tbl>
    <w:p w14:paraId="41E385E5" w14:textId="77777777" w:rsidR="00C0220B" w:rsidRPr="000113B8" w:rsidRDefault="00C0220B" w:rsidP="00C0220B">
      <w:pPr>
        <w:ind w:right="57"/>
        <w:jc w:val="center"/>
        <w:rPr>
          <w:rFonts w:ascii="Garamond" w:eastAsia="Batang" w:hAnsi="Garamond" w:cs="Arial"/>
          <w:bCs/>
          <w:color w:val="000000" w:themeColor="text1"/>
        </w:rPr>
      </w:pPr>
      <w:r w:rsidRPr="000113B8">
        <w:rPr>
          <w:rFonts w:ascii="Garamond" w:eastAsia="Batang" w:hAnsi="Garamond" w:cs="Arial"/>
          <w:bCs/>
          <w:color w:val="000000" w:themeColor="text1"/>
        </w:rPr>
        <w:t>Fuente: Elaboración intermediario de seguros de la entidad JARGU S.A. CORREDORES DE SEGUROS</w:t>
      </w:r>
    </w:p>
    <w:p w14:paraId="509472F7" w14:textId="77777777" w:rsidR="00C0220B" w:rsidRPr="000113B8" w:rsidRDefault="00C0220B" w:rsidP="00C0220B">
      <w:pPr>
        <w:pStyle w:val="Standard"/>
        <w:autoSpaceDE w:val="0"/>
        <w:jc w:val="both"/>
        <w:rPr>
          <w:rFonts w:ascii="Garamond" w:hAnsi="Garamond" w:cs="Garamond"/>
          <w:color w:val="000000" w:themeColor="text1"/>
          <w:sz w:val="22"/>
          <w:szCs w:val="22"/>
        </w:rPr>
      </w:pPr>
    </w:p>
    <w:p w14:paraId="4CABCA62" w14:textId="32C76DE1" w:rsidR="00C0220B" w:rsidRPr="000113B8" w:rsidRDefault="00A502A1" w:rsidP="00C0220B">
      <w:pPr>
        <w:jc w:val="both"/>
        <w:rPr>
          <w:rFonts w:ascii="Garamond" w:hAnsi="Garamond"/>
          <w:color w:val="000000" w:themeColor="text1"/>
        </w:rPr>
      </w:pPr>
      <w:r w:rsidRPr="000113B8">
        <w:rPr>
          <w:rFonts w:ascii="Garamond" w:hAnsi="Garamond"/>
          <w:color w:val="000000" w:themeColor="text1"/>
          <w:lang w:val="es-CO"/>
        </w:rPr>
        <w:t>Ahor bien, e</w:t>
      </w:r>
      <w:r w:rsidR="00C0220B" w:rsidRPr="000113B8">
        <w:rPr>
          <w:rFonts w:ascii="Garamond" w:hAnsi="Garamond"/>
          <w:color w:val="000000" w:themeColor="text1"/>
        </w:rPr>
        <w:t>n este aspecto, la Entidad procede a revisar los aspectos generales del servicio a contratar, analizando las siguientes perspectivas:</w:t>
      </w:r>
    </w:p>
    <w:p w14:paraId="757FFF38" w14:textId="77777777" w:rsidR="00C0220B" w:rsidRPr="000113B8" w:rsidRDefault="00C0220B" w:rsidP="00C0220B">
      <w:pPr>
        <w:jc w:val="both"/>
        <w:rPr>
          <w:rFonts w:ascii="Garamond" w:hAnsi="Garamond"/>
          <w:color w:val="000000" w:themeColor="text1"/>
        </w:rPr>
      </w:pPr>
    </w:p>
    <w:p w14:paraId="4A6EFD95" w14:textId="77777777" w:rsidR="00C0220B" w:rsidRPr="000113B8" w:rsidRDefault="00C0220B" w:rsidP="00C54B99">
      <w:pPr>
        <w:pStyle w:val="Prrafodelista"/>
        <w:widowControl/>
        <w:numPr>
          <w:ilvl w:val="0"/>
          <w:numId w:val="6"/>
        </w:numPr>
        <w:autoSpaceDE/>
        <w:autoSpaceDN/>
        <w:spacing w:before="0" w:after="200"/>
        <w:contextualSpacing/>
        <w:jc w:val="both"/>
        <w:rPr>
          <w:rFonts w:ascii="Garamond" w:hAnsi="Garamond"/>
          <w:b/>
          <w:color w:val="000000" w:themeColor="text1"/>
        </w:rPr>
      </w:pPr>
      <w:bookmarkStart w:id="8" w:name="_Toc41048541"/>
      <w:r w:rsidRPr="000113B8">
        <w:rPr>
          <w:rFonts w:ascii="Garamond" w:hAnsi="Garamond"/>
          <w:b/>
          <w:color w:val="000000" w:themeColor="text1"/>
        </w:rPr>
        <w:t>Aspectos generales y económicos del mercado</w:t>
      </w:r>
      <w:bookmarkEnd w:id="8"/>
    </w:p>
    <w:p w14:paraId="1F0308E2" w14:textId="77777777" w:rsidR="00C0220B" w:rsidRPr="00F739F3" w:rsidRDefault="00C0220B" w:rsidP="00C0220B">
      <w:pPr>
        <w:jc w:val="both"/>
        <w:rPr>
          <w:rFonts w:ascii="Garamond" w:hAnsi="Garamond"/>
          <w:i/>
          <w:color w:val="000000" w:themeColor="text1"/>
        </w:rPr>
      </w:pPr>
      <w:r w:rsidRPr="000113B8">
        <w:rPr>
          <w:rFonts w:ascii="Garamond" w:hAnsi="Garamond"/>
          <w:color w:val="000000" w:themeColor="text1"/>
        </w:rPr>
        <w:t xml:space="preserve">En Colombia, la actividad aseguradora se encuentra avalada por la Constitución Política de Colombia, que en su artículo 335, establece </w:t>
      </w:r>
      <w:r w:rsidRPr="00F739F3">
        <w:rPr>
          <w:rFonts w:ascii="Garamond" w:hAnsi="Garamond"/>
          <w:i/>
          <w:color w:val="000000" w:themeColor="text1"/>
        </w:rPr>
        <w:t>“Las actividades financiera, bursátil, aseguradora y cualquier otra relacionada con el manejo, aprovechamiento e inversión de los recursos de captación a las que se refiere el literal d) del numeral 19 del artículo 150 son de interés público y sólo pueden ser ejercidas previa autorización del Estado, conforme a la ley, la cual regulará la forma de intervención del Gobierno en estas materias y promoverá la democratización del crédito”.</w:t>
      </w:r>
    </w:p>
    <w:p w14:paraId="52789214" w14:textId="77777777" w:rsidR="00C0220B" w:rsidRPr="00F739F3" w:rsidRDefault="00C0220B" w:rsidP="00C0220B">
      <w:pPr>
        <w:rPr>
          <w:rFonts w:ascii="Garamond" w:hAnsi="Garamond"/>
          <w:i/>
          <w:color w:val="000000" w:themeColor="text1"/>
        </w:rPr>
      </w:pPr>
    </w:p>
    <w:p w14:paraId="7688EA25" w14:textId="77777777" w:rsidR="00C0220B" w:rsidRPr="000113B8" w:rsidRDefault="00C0220B" w:rsidP="00C0220B">
      <w:pPr>
        <w:rPr>
          <w:rFonts w:ascii="Garamond" w:hAnsi="Garamond"/>
          <w:color w:val="000000" w:themeColor="text1"/>
        </w:rPr>
      </w:pPr>
      <w:r w:rsidRPr="000113B8">
        <w:rPr>
          <w:rFonts w:ascii="Garamond" w:hAnsi="Garamond"/>
          <w:color w:val="000000" w:themeColor="text1"/>
        </w:rPr>
        <w:t xml:space="preserve">Es así como a través de la Superintendencia Financiera de Colombia el Estado ejerce la inspección, vigilancia y control sobre las entidades que desarrollan este tipo de actividad. </w:t>
      </w:r>
    </w:p>
    <w:p w14:paraId="7D8B8852" w14:textId="77777777" w:rsidR="00C0220B" w:rsidRPr="000113B8" w:rsidRDefault="00C0220B" w:rsidP="00C0220B">
      <w:pPr>
        <w:rPr>
          <w:rFonts w:ascii="Garamond" w:hAnsi="Garamond"/>
          <w:color w:val="000000" w:themeColor="text1"/>
        </w:rPr>
      </w:pPr>
    </w:p>
    <w:p w14:paraId="6CF9ADCB" w14:textId="77777777" w:rsidR="00C0220B" w:rsidRPr="000113B8" w:rsidRDefault="00C0220B" w:rsidP="00C0220B">
      <w:pPr>
        <w:jc w:val="both"/>
        <w:rPr>
          <w:rFonts w:ascii="Garamond" w:hAnsi="Garamond"/>
          <w:color w:val="000000" w:themeColor="text1"/>
        </w:rPr>
      </w:pPr>
      <w:r w:rsidRPr="000113B8">
        <w:rPr>
          <w:rFonts w:ascii="Garamond" w:hAnsi="Garamond"/>
          <w:color w:val="000000" w:themeColor="text1"/>
        </w:rPr>
        <w:t>Igualmente, el mercado asegurador se encuentra conformado en diferentes segmentos en los cuales las compañías desarrollan su objeto social, y en donde para el caso en particular se encuentra enmarcado en los seguros de personas.</w:t>
      </w:r>
    </w:p>
    <w:p w14:paraId="418D3643" w14:textId="77777777" w:rsidR="00C0220B" w:rsidRPr="000113B8" w:rsidRDefault="00C0220B" w:rsidP="00C0220B">
      <w:pPr>
        <w:rPr>
          <w:rFonts w:ascii="Garamond" w:hAnsi="Garamond"/>
          <w:color w:val="000000" w:themeColor="text1"/>
        </w:rPr>
      </w:pPr>
    </w:p>
    <w:p w14:paraId="6167895F" w14:textId="053F0A0F" w:rsidR="00C0220B" w:rsidRPr="000113B8" w:rsidRDefault="004424CE" w:rsidP="00C54B99">
      <w:pPr>
        <w:pStyle w:val="Prrafodelista"/>
        <w:widowControl/>
        <w:numPr>
          <w:ilvl w:val="1"/>
          <w:numId w:val="2"/>
        </w:numPr>
        <w:autoSpaceDE/>
        <w:autoSpaceDN/>
        <w:spacing w:after="200"/>
        <w:contextualSpacing/>
        <w:jc w:val="both"/>
        <w:rPr>
          <w:rFonts w:ascii="Garamond" w:hAnsi="Garamond"/>
          <w:b/>
          <w:color w:val="000000" w:themeColor="text1"/>
          <w:lang w:val="es-MX" w:eastAsia="es-ES"/>
        </w:rPr>
      </w:pPr>
      <w:r w:rsidRPr="000113B8">
        <w:rPr>
          <w:rFonts w:ascii="Garamond" w:hAnsi="Garamond"/>
          <w:b/>
          <w:color w:val="000000" w:themeColor="text1"/>
          <w:lang w:val="es-MX"/>
        </w:rPr>
        <w:t>VARIABLES ECONÓMICAS QUE AFECTAN EL SECTOR</w:t>
      </w:r>
    </w:p>
    <w:p w14:paraId="5C0DE3F7" w14:textId="77777777" w:rsidR="00C0220B" w:rsidRPr="000113B8" w:rsidRDefault="00C0220B" w:rsidP="00C54B99">
      <w:pPr>
        <w:widowControl/>
        <w:numPr>
          <w:ilvl w:val="0"/>
          <w:numId w:val="7"/>
        </w:numPr>
        <w:shd w:val="clear" w:color="auto" w:fill="FFFFFF"/>
        <w:suppressAutoHyphens/>
        <w:autoSpaceDE/>
        <w:autoSpaceDN/>
        <w:jc w:val="both"/>
        <w:rPr>
          <w:rFonts w:ascii="Garamond" w:hAnsi="Garamond" w:cs="Arial"/>
          <w:color w:val="000000" w:themeColor="text1"/>
          <w:vertAlign w:val="superscript"/>
        </w:rPr>
      </w:pPr>
      <w:r w:rsidRPr="000113B8">
        <w:rPr>
          <w:rFonts w:ascii="Garamond" w:hAnsi="Garamond" w:cs="Arial"/>
          <w:b/>
          <w:bCs/>
          <w:color w:val="000000" w:themeColor="text1"/>
        </w:rPr>
        <w:t>Producto Interno Bruto</w:t>
      </w:r>
      <w:r w:rsidRPr="000113B8">
        <w:rPr>
          <w:rFonts w:ascii="Garamond" w:hAnsi="Garamond" w:cs="Arial"/>
          <w:color w:val="000000" w:themeColor="text1"/>
          <w:vertAlign w:val="superscript"/>
        </w:rPr>
        <w:footnoteReference w:id="3"/>
      </w:r>
    </w:p>
    <w:p w14:paraId="1BEF6E7F" w14:textId="77777777" w:rsidR="00C0220B" w:rsidRPr="000113B8" w:rsidRDefault="00C0220B" w:rsidP="00C0220B">
      <w:pPr>
        <w:pStyle w:val="Standard"/>
        <w:jc w:val="both"/>
        <w:rPr>
          <w:rFonts w:ascii="Garamond" w:hAnsi="Garamond" w:cs="Arial"/>
          <w:noProof/>
          <w:color w:val="000000" w:themeColor="text1"/>
          <w:sz w:val="22"/>
          <w:szCs w:val="22"/>
          <w:lang w:val="es-ES"/>
        </w:rPr>
      </w:pPr>
    </w:p>
    <w:p w14:paraId="4B6EC9F7" w14:textId="77777777" w:rsidR="00C0220B" w:rsidRPr="000113B8" w:rsidRDefault="00C0220B" w:rsidP="00C0220B">
      <w:pPr>
        <w:pStyle w:val="Standard"/>
        <w:jc w:val="both"/>
        <w:rPr>
          <w:rFonts w:ascii="Garamond" w:hAnsi="Garamond" w:cs="Arial"/>
          <w:noProof/>
          <w:color w:val="000000" w:themeColor="text1"/>
          <w:sz w:val="22"/>
          <w:szCs w:val="22"/>
          <w:lang w:val="es-ES"/>
        </w:rPr>
      </w:pPr>
      <w:r w:rsidRPr="000113B8">
        <w:rPr>
          <w:rFonts w:ascii="Garamond" w:hAnsi="Garamond" w:cs="Arial"/>
          <w:noProof/>
          <w:color w:val="000000" w:themeColor="text1"/>
          <w:sz w:val="22"/>
          <w:szCs w:val="22"/>
          <w:lang w:val="es-ES"/>
        </w:rPr>
        <w:t>El PIB es un indicador que permite evaluar el desempeño económico de un país. Se define como PIB el valor total de los bienes y servicios producidos en un país durante un cierto periodo de tiempo (generalmente un trimestre o un año); es decir, el total de lo que se produce con los recursos que se han utilizado en la economía, valorando cada bien final o servicio al precio que se maneja comúnmente en el mercado. Para el cálculo del PIB sólo se tiene en cuenta la producción que se realiza en el país, dentro de las fronteras geográficas de la nación, sin importar si esta producción fue realizada por personas o empresas nacionales o extranjeras.</w:t>
      </w:r>
    </w:p>
    <w:p w14:paraId="7446DBAC" w14:textId="77777777" w:rsidR="00C0220B" w:rsidRPr="000113B8" w:rsidRDefault="00C0220B" w:rsidP="00C0220B">
      <w:pPr>
        <w:pStyle w:val="Standard"/>
        <w:jc w:val="both"/>
        <w:rPr>
          <w:rFonts w:ascii="Garamond" w:hAnsi="Garamond" w:cs="Arial"/>
          <w:noProof/>
          <w:color w:val="000000" w:themeColor="text1"/>
          <w:sz w:val="22"/>
          <w:szCs w:val="22"/>
          <w:lang w:val="es-ES"/>
        </w:rPr>
      </w:pPr>
    </w:p>
    <w:p w14:paraId="5D66589C" w14:textId="77777777" w:rsidR="00C0220B" w:rsidRPr="000113B8" w:rsidRDefault="00C0220B" w:rsidP="00C0220B">
      <w:pPr>
        <w:pStyle w:val="Standard"/>
        <w:jc w:val="both"/>
        <w:rPr>
          <w:rFonts w:ascii="Garamond" w:hAnsi="Garamond" w:cs="Arial"/>
          <w:noProof/>
          <w:color w:val="000000" w:themeColor="text1"/>
          <w:sz w:val="22"/>
          <w:szCs w:val="22"/>
          <w:lang w:val="es-ES"/>
        </w:rPr>
      </w:pPr>
      <w:r w:rsidRPr="000113B8">
        <w:rPr>
          <w:rFonts w:ascii="Garamond" w:hAnsi="Garamond" w:cs="Arial"/>
          <w:noProof/>
          <w:color w:val="000000" w:themeColor="text1"/>
          <w:sz w:val="22"/>
          <w:szCs w:val="22"/>
          <w:lang w:val="es-ES"/>
        </w:rPr>
        <w:t>De acuerdo con el último boletín emitido por el DANE, en el tercer trimestre el Producto Interno Bruto crece 2.6% respecto al año 2025.</w:t>
      </w:r>
    </w:p>
    <w:p w14:paraId="3A622DB7" w14:textId="77777777" w:rsidR="00C0220B" w:rsidRPr="000113B8" w:rsidRDefault="00C0220B" w:rsidP="00C0220B">
      <w:pPr>
        <w:pStyle w:val="Standard"/>
        <w:jc w:val="both"/>
        <w:rPr>
          <w:rFonts w:ascii="Garamond" w:hAnsi="Garamond" w:cs="Arial"/>
          <w:noProof/>
          <w:color w:val="000000" w:themeColor="text1"/>
          <w:sz w:val="22"/>
          <w:szCs w:val="22"/>
          <w:lang w:val="es-ES"/>
        </w:rPr>
      </w:pPr>
    </w:p>
    <w:p w14:paraId="6380A589" w14:textId="77777777" w:rsidR="00C0220B" w:rsidRPr="000113B8" w:rsidRDefault="00C0220B" w:rsidP="00C0220B">
      <w:pPr>
        <w:ind w:right="372"/>
        <w:jc w:val="center"/>
        <w:rPr>
          <w:rFonts w:ascii="Garamond" w:hAnsi="Garamond" w:cs="Arial"/>
          <w:noProof/>
          <w:color w:val="000000" w:themeColor="text1"/>
        </w:rPr>
      </w:pPr>
      <w:r w:rsidRPr="000113B8">
        <w:rPr>
          <w:rFonts w:ascii="Garamond" w:hAnsi="Garamond" w:cs="Arial"/>
          <w:noProof/>
          <w:color w:val="000000" w:themeColor="text1"/>
        </w:rPr>
        <w:drawing>
          <wp:inline distT="0" distB="0" distL="0" distR="0" wp14:anchorId="1CB2E183" wp14:editId="15821225">
            <wp:extent cx="4257855" cy="1645080"/>
            <wp:effectExtent l="38100" t="38100" r="28575" b="31750"/>
            <wp:docPr id="1001486387" name="Imagen 7" descr="Gráfico, Gráfico de barr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Gráfico, Gráfico de barras&#10;&#10;El contenido generado por IA puede ser incorrecto."/>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75794" cy="1652011"/>
                    </a:xfrm>
                    <a:prstGeom prst="rect">
                      <a:avLst/>
                    </a:prstGeom>
                    <a:noFill/>
                    <a:ln w="38100" cmpd="sng">
                      <a:solidFill>
                        <a:srgbClr val="000000"/>
                      </a:solidFill>
                      <a:miter lim="800000"/>
                      <a:headEnd/>
                      <a:tailEnd/>
                    </a:ln>
                    <a:effectLst/>
                  </pic:spPr>
                </pic:pic>
              </a:graphicData>
            </a:graphic>
          </wp:inline>
        </w:drawing>
      </w:r>
    </w:p>
    <w:p w14:paraId="595B73BA" w14:textId="77777777" w:rsidR="00C0220B" w:rsidRPr="000113B8" w:rsidRDefault="00C0220B" w:rsidP="00C0220B">
      <w:pPr>
        <w:ind w:right="372"/>
        <w:jc w:val="center"/>
        <w:rPr>
          <w:rFonts w:ascii="Garamond" w:hAnsi="Garamond" w:cs="Arial"/>
          <w:noProof/>
          <w:color w:val="000000" w:themeColor="text1"/>
        </w:rPr>
      </w:pPr>
      <w:r w:rsidRPr="000113B8">
        <w:rPr>
          <w:rFonts w:ascii="Garamond" w:hAnsi="Garamond" w:cs="Arial"/>
          <w:noProof/>
          <w:color w:val="000000" w:themeColor="text1"/>
        </w:rPr>
        <w:t>Fuente: DANE – Boletín técnico Producto Interno Bruto (PIB) del 16 de febrero de 2026</w:t>
      </w:r>
    </w:p>
    <w:p w14:paraId="2473832F" w14:textId="77777777" w:rsidR="00C0220B" w:rsidRPr="000113B8" w:rsidRDefault="00C0220B" w:rsidP="00C0220B">
      <w:pPr>
        <w:rPr>
          <w:rFonts w:ascii="Garamond" w:hAnsi="Garamond"/>
          <w:color w:val="000000" w:themeColor="text1"/>
          <w:lang w:val="es-ES_tradnl"/>
        </w:rPr>
      </w:pPr>
    </w:p>
    <w:p w14:paraId="7E7C6907" w14:textId="77777777" w:rsidR="00C0220B" w:rsidRPr="000113B8" w:rsidRDefault="00C0220B" w:rsidP="00C54B99">
      <w:pPr>
        <w:pStyle w:val="Prrafodelista"/>
        <w:widowControl/>
        <w:numPr>
          <w:ilvl w:val="0"/>
          <w:numId w:val="9"/>
        </w:numPr>
        <w:autoSpaceDE/>
        <w:autoSpaceDN/>
        <w:spacing w:before="0" w:after="200"/>
        <w:contextualSpacing/>
        <w:jc w:val="both"/>
        <w:rPr>
          <w:rFonts w:ascii="Garamond" w:eastAsia="Batang" w:hAnsi="Garamond" w:cs="Arial"/>
          <w:b/>
          <w:bCs/>
          <w:color w:val="000000" w:themeColor="text1"/>
        </w:rPr>
      </w:pPr>
      <w:r w:rsidRPr="000113B8">
        <w:rPr>
          <w:rFonts w:ascii="Garamond" w:eastAsia="Batang" w:hAnsi="Garamond" w:cs="Arial"/>
          <w:b/>
          <w:bCs/>
          <w:color w:val="000000" w:themeColor="text1"/>
        </w:rPr>
        <w:t>Dinámica por actividades económicas</w:t>
      </w:r>
    </w:p>
    <w:p w14:paraId="05D63246" w14:textId="77777777" w:rsidR="00C0220B" w:rsidRPr="000113B8" w:rsidRDefault="00C0220B" w:rsidP="00C0220B">
      <w:pPr>
        <w:ind w:right="372"/>
        <w:jc w:val="center"/>
        <w:rPr>
          <w:rFonts w:ascii="Garamond" w:eastAsia="Batang" w:hAnsi="Garamond" w:cs="Arial"/>
          <w:color w:val="000000" w:themeColor="text1"/>
        </w:rPr>
      </w:pPr>
      <w:r w:rsidRPr="000113B8">
        <w:rPr>
          <w:rFonts w:ascii="Garamond" w:eastAsia="Batang" w:hAnsi="Garamond" w:cs="Arial"/>
          <w:noProof/>
          <w:color w:val="000000" w:themeColor="text1"/>
        </w:rPr>
        <w:drawing>
          <wp:inline distT="0" distB="0" distL="0" distR="0" wp14:anchorId="39FEC7B8" wp14:editId="7E40B31C">
            <wp:extent cx="3781425" cy="2533650"/>
            <wp:effectExtent l="0" t="0" r="9525" b="0"/>
            <wp:docPr id="1263779670"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781425" cy="2533650"/>
                    </a:xfrm>
                    <a:prstGeom prst="rect">
                      <a:avLst/>
                    </a:prstGeom>
                    <a:noFill/>
                    <a:ln>
                      <a:noFill/>
                    </a:ln>
                  </pic:spPr>
                </pic:pic>
              </a:graphicData>
            </a:graphic>
          </wp:inline>
        </w:drawing>
      </w:r>
    </w:p>
    <w:p w14:paraId="05535D4F" w14:textId="77777777" w:rsidR="00C0220B" w:rsidRPr="000113B8" w:rsidRDefault="00C0220B" w:rsidP="00C0220B">
      <w:pPr>
        <w:ind w:right="372"/>
        <w:jc w:val="center"/>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Fuente: DANE – Boletín técnico Producto Interno Bruto (PIB) del 16 de febrero de 2026</w:t>
      </w:r>
    </w:p>
    <w:p w14:paraId="6A2F43D0" w14:textId="77777777" w:rsidR="00C0220B" w:rsidRPr="000113B8" w:rsidRDefault="00C0220B" w:rsidP="00C0220B">
      <w:pPr>
        <w:jc w:val="center"/>
        <w:rPr>
          <w:rFonts w:ascii="Garamond" w:eastAsia="Batang" w:hAnsi="Garamond" w:cs="Arial"/>
          <w:color w:val="000000" w:themeColor="text1"/>
          <w:lang w:val="es-ES_tradnl"/>
        </w:rPr>
      </w:pPr>
    </w:p>
    <w:p w14:paraId="32497188" w14:textId="77777777" w:rsidR="00C0220B" w:rsidRPr="000113B8" w:rsidRDefault="00C0220B" w:rsidP="00C0220B">
      <w:pPr>
        <w:ind w:right="372"/>
        <w:jc w:val="both"/>
        <w:rPr>
          <w:rFonts w:ascii="Garamond" w:eastAsia="Batang" w:hAnsi="Garamond" w:cs="Arial"/>
          <w:color w:val="000000" w:themeColor="text1"/>
        </w:rPr>
      </w:pPr>
      <w:r w:rsidRPr="000113B8">
        <w:rPr>
          <w:rFonts w:ascii="Garamond" w:eastAsia="Batang" w:hAnsi="Garamond" w:cs="Arial"/>
          <w:color w:val="000000" w:themeColor="text1"/>
        </w:rPr>
        <w:t>El Producto Interno Bruto crece 2,6% en el año 2025 respecto al año 2024; las actividades económicas que más contribuyen a la dinámica del valor agregado son:</w:t>
      </w:r>
    </w:p>
    <w:p w14:paraId="4695489F" w14:textId="77777777" w:rsidR="00C0220B" w:rsidRPr="000113B8" w:rsidRDefault="00C0220B" w:rsidP="00C0220B">
      <w:pPr>
        <w:ind w:right="372"/>
        <w:jc w:val="both"/>
        <w:rPr>
          <w:rFonts w:ascii="Garamond" w:eastAsia="Batang" w:hAnsi="Garamond" w:cs="Arial"/>
          <w:color w:val="000000" w:themeColor="text1"/>
        </w:rPr>
      </w:pPr>
    </w:p>
    <w:p w14:paraId="680FC9E9" w14:textId="77777777" w:rsidR="00C0220B" w:rsidRPr="000113B8" w:rsidRDefault="00C0220B" w:rsidP="00C54B99">
      <w:pPr>
        <w:pStyle w:val="Prrafodelista"/>
        <w:numPr>
          <w:ilvl w:val="0"/>
          <w:numId w:val="10"/>
        </w:numPr>
        <w:spacing w:before="0"/>
        <w:ind w:right="372"/>
        <w:jc w:val="both"/>
        <w:rPr>
          <w:rFonts w:ascii="Garamond" w:eastAsia="Batang" w:hAnsi="Garamond" w:cs="Arial"/>
          <w:color w:val="000000" w:themeColor="text1"/>
        </w:rPr>
      </w:pPr>
      <w:r w:rsidRPr="000113B8">
        <w:rPr>
          <w:rFonts w:ascii="Garamond" w:eastAsia="Batang" w:hAnsi="Garamond" w:cs="Arial"/>
          <w:color w:val="000000" w:themeColor="text1"/>
        </w:rPr>
        <w:t>Comercio al por mayor y al por menor; reparación de vehículos automotores y motocicletas; Transporte y almacenamiento; Alojamiento y servicios de comida crece 4,6% (contribuye 0,9 puntos porcentuales a la variación anual).</w:t>
      </w:r>
    </w:p>
    <w:p w14:paraId="40C1DACB" w14:textId="77777777" w:rsidR="00C0220B" w:rsidRPr="000113B8" w:rsidRDefault="00C0220B" w:rsidP="00C54B99">
      <w:pPr>
        <w:pStyle w:val="Prrafodelista"/>
        <w:numPr>
          <w:ilvl w:val="0"/>
          <w:numId w:val="10"/>
        </w:numPr>
        <w:spacing w:before="0"/>
        <w:ind w:right="372"/>
        <w:jc w:val="both"/>
        <w:rPr>
          <w:rFonts w:ascii="Garamond" w:eastAsia="Batang" w:hAnsi="Garamond" w:cs="Arial"/>
          <w:color w:val="000000" w:themeColor="text1"/>
        </w:rPr>
      </w:pPr>
      <w:r w:rsidRPr="000113B8">
        <w:rPr>
          <w:rFonts w:ascii="Garamond" w:eastAsia="Batang" w:hAnsi="Garamond" w:cs="Arial"/>
          <w:color w:val="000000" w:themeColor="text1"/>
        </w:rPr>
        <w:t>Administración pública y defensa; planes de seguridad social de afiliación obligatoria; Educación; Actividades de atención de la salud humana y de servicios sociales crece 4,5% (contribuye 0,8 puntos porcentuales a la variación anual).</w:t>
      </w:r>
    </w:p>
    <w:p w14:paraId="67F36DD8" w14:textId="77777777" w:rsidR="00C0220B" w:rsidRPr="000113B8" w:rsidRDefault="00C0220B" w:rsidP="00C54B99">
      <w:pPr>
        <w:pStyle w:val="Prrafodelista"/>
        <w:numPr>
          <w:ilvl w:val="0"/>
          <w:numId w:val="10"/>
        </w:numPr>
        <w:spacing w:before="0"/>
        <w:ind w:right="372"/>
        <w:jc w:val="both"/>
        <w:rPr>
          <w:rFonts w:ascii="Garamond" w:eastAsia="Batang" w:hAnsi="Garamond" w:cs="Arial"/>
          <w:color w:val="000000" w:themeColor="text1"/>
        </w:rPr>
      </w:pPr>
      <w:r w:rsidRPr="000113B8">
        <w:rPr>
          <w:rFonts w:ascii="Garamond" w:eastAsia="Batang" w:hAnsi="Garamond" w:cs="Arial"/>
          <w:color w:val="000000" w:themeColor="text1"/>
        </w:rPr>
        <w:t xml:space="preserve">Actividades artísticas, de entretenimiento y recreación y otras actividades de servicios; Actividades de los hogares individuales en calidad de empleadores; actividades no diferenciadas de los hogares individuales como productores de bienes y servicios para uso propio crece 9,9% (contribuye 0,4 puntos porcentuales a la variación anual). </w:t>
      </w:r>
    </w:p>
    <w:p w14:paraId="00C9D7FB" w14:textId="77777777" w:rsidR="00C0220B" w:rsidRPr="000113B8" w:rsidRDefault="00C0220B" w:rsidP="00C0220B">
      <w:pPr>
        <w:ind w:right="372"/>
        <w:jc w:val="both"/>
        <w:rPr>
          <w:rFonts w:ascii="Garamond" w:eastAsia="Batang" w:hAnsi="Garamond" w:cs="Arial"/>
          <w:color w:val="000000" w:themeColor="text1"/>
        </w:rPr>
      </w:pPr>
    </w:p>
    <w:p w14:paraId="5A6F69DC" w14:textId="77777777" w:rsidR="00C0220B" w:rsidRPr="000113B8" w:rsidRDefault="00C0220B" w:rsidP="00C0220B">
      <w:pPr>
        <w:ind w:right="372"/>
        <w:jc w:val="both"/>
        <w:rPr>
          <w:rFonts w:ascii="Garamond" w:eastAsia="Batang" w:hAnsi="Garamond" w:cs="Arial"/>
          <w:color w:val="000000" w:themeColor="text1"/>
        </w:rPr>
      </w:pPr>
      <w:r w:rsidRPr="000113B8">
        <w:rPr>
          <w:rFonts w:ascii="Garamond" w:eastAsia="Batang" w:hAnsi="Garamond" w:cs="Arial"/>
          <w:color w:val="000000" w:themeColor="text1"/>
        </w:rPr>
        <w:t>En el cuarto trimestre de 2025, el Producto Interno Bruto en su serie original, crece 2,3% respecto al mismo periodo de 2024. Las actividades económicas que más contribuyen a la dinámica del valor agregado son:</w:t>
      </w:r>
    </w:p>
    <w:p w14:paraId="7F3D072B" w14:textId="77777777" w:rsidR="00C0220B" w:rsidRPr="000113B8" w:rsidRDefault="00C0220B" w:rsidP="00C0220B">
      <w:pPr>
        <w:ind w:right="372"/>
        <w:jc w:val="both"/>
        <w:rPr>
          <w:rFonts w:ascii="Garamond" w:eastAsia="Batang" w:hAnsi="Garamond" w:cs="Arial"/>
          <w:color w:val="000000" w:themeColor="text1"/>
        </w:rPr>
      </w:pPr>
    </w:p>
    <w:p w14:paraId="6348F7A7" w14:textId="77777777" w:rsidR="00C0220B" w:rsidRPr="000113B8" w:rsidRDefault="00C0220B" w:rsidP="00C54B99">
      <w:pPr>
        <w:pStyle w:val="Prrafodelista"/>
        <w:numPr>
          <w:ilvl w:val="0"/>
          <w:numId w:val="11"/>
        </w:numPr>
        <w:spacing w:before="0"/>
        <w:ind w:right="372"/>
        <w:jc w:val="both"/>
        <w:rPr>
          <w:rFonts w:ascii="Garamond" w:eastAsia="Batang" w:hAnsi="Garamond" w:cs="Arial"/>
          <w:color w:val="000000" w:themeColor="text1"/>
        </w:rPr>
      </w:pPr>
      <w:r w:rsidRPr="000113B8">
        <w:rPr>
          <w:rFonts w:ascii="Garamond" w:eastAsia="Batang" w:hAnsi="Garamond" w:cs="Arial"/>
          <w:color w:val="000000" w:themeColor="text1"/>
        </w:rPr>
        <w:t>Administración pública y defensa; planes de seguridad social de afiliación obligatoria; Educación; Actividades de atención de la salud humana y de servicios sociales crece 4,8% (contribuye 0,9 puntos porcentuales a la variación anual).</w:t>
      </w:r>
    </w:p>
    <w:p w14:paraId="0151A567" w14:textId="77777777" w:rsidR="00C0220B" w:rsidRPr="000113B8" w:rsidRDefault="00C0220B" w:rsidP="00C0220B">
      <w:pPr>
        <w:ind w:right="372"/>
        <w:jc w:val="both"/>
        <w:rPr>
          <w:rFonts w:ascii="Garamond" w:eastAsia="Batang" w:hAnsi="Garamond" w:cs="Arial"/>
          <w:color w:val="000000" w:themeColor="text1"/>
        </w:rPr>
      </w:pPr>
    </w:p>
    <w:p w14:paraId="34430AD4" w14:textId="77777777" w:rsidR="00C0220B" w:rsidRPr="000113B8" w:rsidRDefault="00C0220B" w:rsidP="00C54B99">
      <w:pPr>
        <w:pStyle w:val="Prrafodelista"/>
        <w:numPr>
          <w:ilvl w:val="0"/>
          <w:numId w:val="11"/>
        </w:numPr>
        <w:spacing w:before="0"/>
        <w:ind w:right="372"/>
        <w:jc w:val="both"/>
        <w:rPr>
          <w:rFonts w:ascii="Garamond" w:eastAsia="Batang" w:hAnsi="Garamond" w:cs="Arial"/>
          <w:color w:val="000000" w:themeColor="text1"/>
        </w:rPr>
      </w:pPr>
      <w:r w:rsidRPr="000113B8">
        <w:rPr>
          <w:rFonts w:ascii="Garamond" w:eastAsia="Batang" w:hAnsi="Garamond" w:cs="Arial"/>
          <w:color w:val="000000" w:themeColor="text1"/>
        </w:rPr>
        <w:t>Comercio al por mayor y al por menor; reparación de vehículos automotores y motocicletas; Transporte y almacenamiento; Alojamiento y servicios de comida crece 3,4% (contribuye 0,7 puntos porcentuales a la variación anual).</w:t>
      </w:r>
    </w:p>
    <w:p w14:paraId="0B033984" w14:textId="77777777" w:rsidR="00C0220B" w:rsidRPr="000113B8" w:rsidRDefault="00C0220B" w:rsidP="00C0220B">
      <w:pPr>
        <w:ind w:right="372"/>
        <w:jc w:val="both"/>
        <w:rPr>
          <w:rFonts w:ascii="Garamond" w:eastAsia="Batang" w:hAnsi="Garamond" w:cs="Arial"/>
          <w:color w:val="000000" w:themeColor="text1"/>
        </w:rPr>
      </w:pPr>
    </w:p>
    <w:p w14:paraId="15C23B69" w14:textId="77777777" w:rsidR="00C0220B" w:rsidRPr="000113B8" w:rsidRDefault="00C0220B" w:rsidP="00C54B99">
      <w:pPr>
        <w:pStyle w:val="Prrafodelista"/>
        <w:numPr>
          <w:ilvl w:val="0"/>
          <w:numId w:val="11"/>
        </w:numPr>
        <w:spacing w:before="0"/>
        <w:ind w:right="372"/>
        <w:jc w:val="both"/>
        <w:rPr>
          <w:rFonts w:ascii="Garamond" w:eastAsia="Batang" w:hAnsi="Garamond" w:cs="Arial"/>
          <w:color w:val="000000" w:themeColor="text1"/>
        </w:rPr>
      </w:pPr>
      <w:r w:rsidRPr="000113B8">
        <w:rPr>
          <w:rFonts w:ascii="Garamond" w:eastAsia="Batang" w:hAnsi="Garamond" w:cs="Arial"/>
          <w:color w:val="000000" w:themeColor="text1"/>
        </w:rPr>
        <w:t>Actividades artísticas, de entretenimiento y recreación y otras actividades de servicios; Actividades de los hogares individuales en calidad de empleadores; actividades no diferenciadas de los hogares individuales como productores de bienes y servicios para uso propio crece 11,5% (contribuye 0,5 puntos porcentuales a la variación anual).</w:t>
      </w:r>
    </w:p>
    <w:p w14:paraId="576DDAAF" w14:textId="77777777" w:rsidR="00C0220B" w:rsidRPr="000113B8" w:rsidRDefault="00C0220B" w:rsidP="00C0220B">
      <w:pPr>
        <w:ind w:right="372"/>
        <w:jc w:val="both"/>
        <w:rPr>
          <w:rFonts w:ascii="Garamond" w:eastAsia="Batang" w:hAnsi="Garamond" w:cs="Arial"/>
          <w:color w:val="000000" w:themeColor="text1"/>
        </w:rPr>
      </w:pPr>
    </w:p>
    <w:p w14:paraId="2C6B623A" w14:textId="77777777" w:rsidR="00C0220B" w:rsidRPr="000113B8" w:rsidRDefault="00C0220B" w:rsidP="00C0220B">
      <w:pPr>
        <w:tabs>
          <w:tab w:val="left" w:pos="9032"/>
        </w:tabs>
        <w:ind w:right="372"/>
        <w:jc w:val="both"/>
        <w:rPr>
          <w:rFonts w:ascii="Garamond" w:eastAsia="Batang" w:hAnsi="Garamond" w:cs="Arial"/>
          <w:color w:val="000000" w:themeColor="text1"/>
        </w:rPr>
      </w:pPr>
      <w:r w:rsidRPr="000113B8">
        <w:rPr>
          <w:rFonts w:ascii="Garamond" w:eastAsia="Batang" w:hAnsi="Garamond" w:cs="Arial"/>
          <w:color w:val="000000" w:themeColor="text1"/>
        </w:rPr>
        <w:t>Respecto al trimestre inmediatamente anterior, el Producto Interno Bruto en su serie ajustada por efecto estacional y calendario crece 0,1%. Cuando se observa el comportamiento de las actividades económicas relacionadas:</w:t>
      </w:r>
    </w:p>
    <w:p w14:paraId="2EA4036B" w14:textId="77777777" w:rsidR="00C0220B" w:rsidRPr="000113B8" w:rsidRDefault="00C0220B" w:rsidP="00C0220B">
      <w:pPr>
        <w:ind w:right="372"/>
        <w:jc w:val="both"/>
        <w:rPr>
          <w:rFonts w:ascii="Garamond" w:eastAsia="Batang" w:hAnsi="Garamond" w:cs="Arial"/>
          <w:color w:val="000000" w:themeColor="text1"/>
        </w:rPr>
      </w:pPr>
    </w:p>
    <w:p w14:paraId="6523EA20" w14:textId="77777777" w:rsidR="00C0220B" w:rsidRPr="000113B8" w:rsidRDefault="00C0220B" w:rsidP="00C54B99">
      <w:pPr>
        <w:pStyle w:val="Prrafodelista"/>
        <w:numPr>
          <w:ilvl w:val="0"/>
          <w:numId w:val="12"/>
        </w:numPr>
        <w:spacing w:before="0"/>
        <w:ind w:right="372"/>
        <w:jc w:val="both"/>
        <w:rPr>
          <w:rFonts w:ascii="Garamond" w:eastAsia="Batang" w:hAnsi="Garamond" w:cs="Arial"/>
          <w:color w:val="000000" w:themeColor="text1"/>
        </w:rPr>
      </w:pPr>
      <w:r w:rsidRPr="000113B8">
        <w:rPr>
          <w:rFonts w:ascii="Garamond" w:eastAsia="Batang" w:hAnsi="Garamond" w:cs="Arial"/>
          <w:color w:val="000000" w:themeColor="text1"/>
        </w:rPr>
        <w:t>Actividades artísticas, de entretenimiento y recreación y otras actividades de servicios; Actividades de los hogares individuales en calidad de empleadores; actividades no diferenciadas de los hogares individuales como productores de bienes y servicios para uso propio crece 4,6%.</w:t>
      </w:r>
    </w:p>
    <w:p w14:paraId="2DD9A7B1" w14:textId="77777777" w:rsidR="00C0220B" w:rsidRPr="000113B8" w:rsidRDefault="00C0220B" w:rsidP="00C54B99">
      <w:pPr>
        <w:pStyle w:val="Prrafodelista"/>
        <w:numPr>
          <w:ilvl w:val="0"/>
          <w:numId w:val="12"/>
        </w:numPr>
        <w:spacing w:before="0"/>
        <w:ind w:right="372"/>
        <w:jc w:val="both"/>
        <w:rPr>
          <w:rFonts w:ascii="Garamond" w:eastAsia="Batang" w:hAnsi="Garamond" w:cs="Arial"/>
          <w:color w:val="000000" w:themeColor="text1"/>
        </w:rPr>
      </w:pPr>
      <w:r w:rsidRPr="000113B8">
        <w:rPr>
          <w:rFonts w:ascii="Garamond" w:eastAsia="Batang" w:hAnsi="Garamond" w:cs="Arial"/>
          <w:color w:val="000000" w:themeColor="text1"/>
        </w:rPr>
        <w:t>Comercio al por mayor y al por menor; reparación de vehículos automotores y motocicletas; Transporte y almacenamiento; Alojamiento y servicios de comida crece 1,6%.</w:t>
      </w:r>
    </w:p>
    <w:p w14:paraId="1202F184" w14:textId="77777777" w:rsidR="00C0220B" w:rsidRPr="000113B8" w:rsidRDefault="00C0220B" w:rsidP="00C54B99">
      <w:pPr>
        <w:pStyle w:val="Prrafodelista"/>
        <w:numPr>
          <w:ilvl w:val="0"/>
          <w:numId w:val="12"/>
        </w:numPr>
        <w:spacing w:before="0"/>
        <w:ind w:right="372"/>
        <w:jc w:val="both"/>
        <w:rPr>
          <w:rFonts w:ascii="Garamond" w:eastAsia="Batang" w:hAnsi="Garamond" w:cs="Arial"/>
          <w:color w:val="000000" w:themeColor="text1"/>
        </w:rPr>
      </w:pPr>
      <w:r w:rsidRPr="000113B8">
        <w:rPr>
          <w:rFonts w:ascii="Garamond" w:eastAsia="Batang" w:hAnsi="Garamond" w:cs="Arial"/>
          <w:color w:val="000000" w:themeColor="text1"/>
        </w:rPr>
        <w:t>Explotación de minas y canteras crece 1,2%.</w:t>
      </w:r>
    </w:p>
    <w:p w14:paraId="15F821FB" w14:textId="77777777" w:rsidR="00C0220B" w:rsidRPr="000113B8" w:rsidRDefault="00C0220B" w:rsidP="00C0220B">
      <w:pPr>
        <w:pStyle w:val="Prrafodelista"/>
        <w:ind w:right="372"/>
        <w:rPr>
          <w:rFonts w:ascii="Garamond" w:eastAsia="Batang" w:hAnsi="Garamond" w:cs="Arial"/>
          <w:color w:val="000000" w:themeColor="text1"/>
        </w:rPr>
      </w:pPr>
    </w:p>
    <w:p w14:paraId="6B3C6988" w14:textId="77777777" w:rsidR="00C0220B" w:rsidRPr="000113B8" w:rsidRDefault="00C0220B" w:rsidP="00C54B99">
      <w:pPr>
        <w:pStyle w:val="Prrafodelista"/>
        <w:widowControl/>
        <w:numPr>
          <w:ilvl w:val="0"/>
          <w:numId w:val="8"/>
        </w:numPr>
        <w:autoSpaceDE/>
        <w:autoSpaceDN/>
        <w:spacing w:before="0"/>
        <w:ind w:left="284" w:hanging="284"/>
        <w:jc w:val="both"/>
        <w:rPr>
          <w:rFonts w:ascii="Garamond" w:eastAsia="Batang" w:hAnsi="Garamond" w:cs="Arial"/>
          <w:b/>
          <w:bCs/>
          <w:color w:val="000000" w:themeColor="text1"/>
        </w:rPr>
      </w:pPr>
      <w:r w:rsidRPr="000113B8">
        <w:rPr>
          <w:rFonts w:ascii="Garamond" w:eastAsia="Batang" w:hAnsi="Garamond" w:cs="Arial"/>
          <w:b/>
          <w:bCs/>
          <w:color w:val="000000" w:themeColor="text1"/>
        </w:rPr>
        <w:t xml:space="preserve">Actividades financieras y de seguros </w:t>
      </w:r>
    </w:p>
    <w:p w14:paraId="07A96DF6" w14:textId="77777777" w:rsidR="00C0220B" w:rsidRPr="000113B8" w:rsidRDefault="00C0220B" w:rsidP="00C0220B">
      <w:pPr>
        <w:jc w:val="both"/>
        <w:rPr>
          <w:rFonts w:ascii="Garamond" w:eastAsia="Batang" w:hAnsi="Garamond" w:cs="Arial"/>
          <w:color w:val="000000" w:themeColor="text1"/>
        </w:rPr>
      </w:pPr>
    </w:p>
    <w:p w14:paraId="09EC2B0C" w14:textId="77777777" w:rsidR="00C0220B" w:rsidRPr="000113B8" w:rsidRDefault="00C0220B" w:rsidP="00C0220B">
      <w:pPr>
        <w:ind w:right="104"/>
        <w:contextualSpacing/>
        <w:jc w:val="both"/>
        <w:rPr>
          <w:rFonts w:ascii="Garamond" w:eastAsia="Batang" w:hAnsi="Garamond" w:cs="Arial"/>
          <w:color w:val="000000" w:themeColor="text1"/>
        </w:rPr>
      </w:pPr>
      <w:r w:rsidRPr="000113B8">
        <w:rPr>
          <w:rFonts w:ascii="Garamond" w:eastAsia="Batang" w:hAnsi="Garamond" w:cs="Arial"/>
          <w:color w:val="000000" w:themeColor="text1"/>
        </w:rPr>
        <w:t>Para el año 2025, el valor agregado de las actividades financieras y de seguros crece 2,8%, respecto al año 2024. En el cuarto trimestre de 2025pr, el valor agregado de las actividades financieras y de seguros crece 0,7% en su serie original, respecto al mismo periodo de 2024. Para la serie ajustada por efecto estacional y calendario, el valor agregado decrece en 2,4%, respecto al trimestre inmediatamente anterior.</w:t>
      </w:r>
    </w:p>
    <w:p w14:paraId="443C1312" w14:textId="77777777" w:rsidR="00C0220B" w:rsidRPr="000113B8" w:rsidRDefault="00C0220B" w:rsidP="00C0220B">
      <w:pPr>
        <w:ind w:right="104"/>
        <w:contextualSpacing/>
        <w:jc w:val="center"/>
        <w:rPr>
          <w:rFonts w:ascii="Garamond" w:hAnsi="Garamond" w:cs="Arial"/>
          <w:b/>
          <w:bCs/>
          <w:color w:val="000000" w:themeColor="text1"/>
        </w:rPr>
      </w:pPr>
    </w:p>
    <w:p w14:paraId="4FB47DB8" w14:textId="77777777" w:rsidR="00C0220B" w:rsidRPr="000113B8" w:rsidRDefault="00C0220B" w:rsidP="00C0220B">
      <w:pPr>
        <w:ind w:right="372"/>
        <w:jc w:val="center"/>
        <w:rPr>
          <w:rFonts w:ascii="Garamond" w:eastAsia="Batang" w:hAnsi="Garamond" w:cs="Arial"/>
          <w:color w:val="000000" w:themeColor="text1"/>
        </w:rPr>
      </w:pPr>
      <w:r w:rsidRPr="000113B8">
        <w:rPr>
          <w:rFonts w:ascii="Garamond" w:eastAsia="Batang" w:hAnsi="Garamond" w:cs="Arial"/>
          <w:noProof/>
          <w:color w:val="000000" w:themeColor="text1"/>
        </w:rPr>
        <w:lastRenderedPageBreak/>
        <w:drawing>
          <wp:inline distT="0" distB="0" distL="0" distR="0" wp14:anchorId="13242E23" wp14:editId="6E0ABD05">
            <wp:extent cx="3265817" cy="1469980"/>
            <wp:effectExtent l="38100" t="38100" r="29845" b="35560"/>
            <wp:docPr id="1832461380"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78599" cy="1475733"/>
                    </a:xfrm>
                    <a:prstGeom prst="rect">
                      <a:avLst/>
                    </a:prstGeom>
                    <a:noFill/>
                    <a:ln w="38100" cmpd="sng">
                      <a:solidFill>
                        <a:srgbClr val="000000"/>
                      </a:solidFill>
                      <a:miter lim="800000"/>
                      <a:headEnd/>
                      <a:tailEnd/>
                    </a:ln>
                    <a:effectLst/>
                  </pic:spPr>
                </pic:pic>
              </a:graphicData>
            </a:graphic>
          </wp:inline>
        </w:drawing>
      </w:r>
    </w:p>
    <w:p w14:paraId="5A47D010" w14:textId="77777777" w:rsidR="00C0220B" w:rsidRPr="000113B8" w:rsidRDefault="00C0220B" w:rsidP="00C0220B">
      <w:pPr>
        <w:ind w:right="372"/>
        <w:jc w:val="center"/>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Fuente: DANE – Boletín técnico Producto Interno Bruto (PIB) del 16 de febrero de 2026</w:t>
      </w:r>
    </w:p>
    <w:p w14:paraId="1005D5F3" w14:textId="77777777" w:rsidR="00C0220B" w:rsidRPr="000113B8" w:rsidRDefault="00C0220B" w:rsidP="00C0220B">
      <w:pPr>
        <w:jc w:val="center"/>
        <w:rPr>
          <w:rFonts w:ascii="Garamond" w:eastAsia="Batang" w:hAnsi="Garamond" w:cs="Arial"/>
          <w:color w:val="000000" w:themeColor="text1"/>
          <w:lang w:val="es-ES_tradnl"/>
        </w:rPr>
      </w:pPr>
    </w:p>
    <w:p w14:paraId="4AED807A" w14:textId="77777777" w:rsidR="00C0220B" w:rsidRPr="000113B8" w:rsidRDefault="00C0220B" w:rsidP="00C0220B">
      <w:pPr>
        <w:jc w:val="both"/>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 xml:space="preserve">Conforme lo anterior, se concluye que las actividades financieras y de seguros ha incrementado en el país y donde como se resultado se evidencia que incrementa la demanda y el crecimiento del mercado asegurador (penetración del PIB). </w:t>
      </w:r>
    </w:p>
    <w:p w14:paraId="1466A0D0" w14:textId="77777777" w:rsidR="00C0220B" w:rsidRPr="000113B8" w:rsidRDefault="00C0220B" w:rsidP="00C0220B">
      <w:pPr>
        <w:jc w:val="both"/>
        <w:rPr>
          <w:rFonts w:ascii="Garamond" w:eastAsia="Batang" w:hAnsi="Garamond" w:cs="Arial"/>
          <w:color w:val="000000" w:themeColor="text1"/>
          <w:lang w:val="es-ES_tradnl"/>
        </w:rPr>
      </w:pPr>
    </w:p>
    <w:p w14:paraId="403412E5" w14:textId="77777777" w:rsidR="00C0220B" w:rsidRPr="000113B8" w:rsidRDefault="00C0220B" w:rsidP="00C0220B">
      <w:pPr>
        <w:jc w:val="both"/>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A su vez, igualmente se tiene que el crecimiento económico sectorial (como el de finanzas y seguros) y la estabilidad macroeconómica afectan los costos de los seguros, ya que la siniestralidad y los costos operativos se ajustan al entorno económico, llevando a las aseguradoras a buscar un equilibrio entre precios y riesgos, en donde se pueda contar con precios de primas más precisos que permitan solventar los posibles siniestros que se puedan llegar a presentar en la vigencia contratada.</w:t>
      </w:r>
    </w:p>
    <w:p w14:paraId="28C5B209" w14:textId="77777777" w:rsidR="00C0220B" w:rsidRPr="000113B8" w:rsidRDefault="00C0220B" w:rsidP="00C0220B">
      <w:pPr>
        <w:jc w:val="both"/>
        <w:rPr>
          <w:rFonts w:ascii="Garamond" w:hAnsi="Garamond"/>
          <w:b/>
          <w:bCs/>
          <w:noProof/>
          <w:color w:val="000000" w:themeColor="text1"/>
          <w:lang w:val="es-ES_tradnl" w:eastAsia="es-CO"/>
        </w:rPr>
      </w:pPr>
    </w:p>
    <w:p w14:paraId="434BCAC0" w14:textId="77777777" w:rsidR="00C0220B" w:rsidRPr="000113B8" w:rsidRDefault="00C0220B" w:rsidP="00C54B99">
      <w:pPr>
        <w:pStyle w:val="Textoindependiente"/>
        <w:numPr>
          <w:ilvl w:val="0"/>
          <w:numId w:val="7"/>
        </w:numPr>
        <w:jc w:val="both"/>
        <w:rPr>
          <w:rFonts w:ascii="Garamond" w:hAnsi="Garamond"/>
          <w:b/>
          <w:bCs/>
          <w:color w:val="000000" w:themeColor="text1"/>
          <w:lang w:val="es-MX"/>
        </w:rPr>
      </w:pPr>
      <w:r w:rsidRPr="000113B8">
        <w:rPr>
          <w:rFonts w:ascii="Garamond" w:hAnsi="Garamond"/>
          <w:b/>
          <w:color w:val="000000" w:themeColor="text1"/>
          <w:lang w:val="es-MX"/>
        </w:rPr>
        <w:t xml:space="preserve">Índice de precio al </w:t>
      </w:r>
      <w:r w:rsidRPr="000113B8">
        <w:rPr>
          <w:rFonts w:ascii="Garamond" w:hAnsi="Garamond"/>
          <w:b/>
          <w:bCs/>
          <w:color w:val="000000" w:themeColor="text1"/>
          <w:lang w:val="es-MX"/>
        </w:rPr>
        <w:t xml:space="preserve">consumidor </w:t>
      </w:r>
      <w:r w:rsidRPr="000113B8">
        <w:rPr>
          <w:rFonts w:ascii="Garamond" w:hAnsi="Garamond"/>
          <w:bCs/>
          <w:color w:val="000000" w:themeColor="text1"/>
          <w:vertAlign w:val="superscript"/>
        </w:rPr>
        <w:footnoteReference w:id="4"/>
      </w:r>
    </w:p>
    <w:p w14:paraId="4DAE0C87" w14:textId="77777777" w:rsidR="00C0220B" w:rsidRPr="000113B8" w:rsidRDefault="00C0220B" w:rsidP="00C0220B">
      <w:pPr>
        <w:pStyle w:val="Textoindependiente"/>
        <w:ind w:left="720"/>
        <w:rPr>
          <w:rFonts w:ascii="Garamond" w:hAnsi="Garamond"/>
          <w:b/>
          <w:bCs/>
          <w:color w:val="000000" w:themeColor="text1"/>
          <w:lang w:val="es-MX"/>
        </w:rPr>
      </w:pPr>
    </w:p>
    <w:p w14:paraId="29237CA6" w14:textId="77777777" w:rsidR="00C0220B" w:rsidRPr="000113B8" w:rsidRDefault="00C0220B" w:rsidP="00C0220B">
      <w:pPr>
        <w:jc w:val="both"/>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El IPC es una medida del cambio (variación), en el precio de bienes y servicios representativos del consumo de los hogares del país conocido como canasta, y mide la evolución del costo promedio de la canasta de bienes y servicios representativa del consumo final de los hogares, expresado en relación con un período base.</w:t>
      </w:r>
    </w:p>
    <w:p w14:paraId="5171AB78" w14:textId="77777777" w:rsidR="00C0220B" w:rsidRPr="000113B8" w:rsidRDefault="00C0220B" w:rsidP="00C0220B">
      <w:pPr>
        <w:jc w:val="both"/>
        <w:rPr>
          <w:rFonts w:ascii="Garamond" w:eastAsia="Batang" w:hAnsi="Garamond" w:cs="Arial"/>
          <w:color w:val="000000" w:themeColor="text1"/>
          <w:lang w:val="es-ES_tradnl"/>
        </w:rPr>
      </w:pPr>
    </w:p>
    <w:p w14:paraId="10CBF928" w14:textId="1FE31BED" w:rsidR="00C0220B" w:rsidRPr="000113B8" w:rsidRDefault="00691046" w:rsidP="00C0220B">
      <w:pPr>
        <w:jc w:val="center"/>
        <w:rPr>
          <w:rFonts w:ascii="Garamond" w:eastAsia="Batang" w:hAnsi="Garamond" w:cs="Arial"/>
          <w:color w:val="000000" w:themeColor="text1"/>
        </w:rPr>
      </w:pPr>
      <w:r w:rsidRPr="000113B8">
        <w:rPr>
          <w:rFonts w:ascii="Garamond" w:eastAsia="Batang" w:hAnsi="Garamond" w:cs="Arial"/>
          <w:noProof/>
          <w:color w:val="000000" w:themeColor="text1"/>
        </w:rPr>
        <w:drawing>
          <wp:inline distT="0" distB="0" distL="0" distR="0" wp14:anchorId="66B315B5" wp14:editId="799068D1">
            <wp:extent cx="5943600" cy="2091055"/>
            <wp:effectExtent l="38100" t="38100" r="38100" b="42545"/>
            <wp:docPr id="79439368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393681" name=""/>
                    <pic:cNvPicPr/>
                  </pic:nvPicPr>
                  <pic:blipFill>
                    <a:blip r:embed="rId15"/>
                    <a:stretch>
                      <a:fillRect/>
                    </a:stretch>
                  </pic:blipFill>
                  <pic:spPr>
                    <a:xfrm>
                      <a:off x="0" y="0"/>
                      <a:ext cx="5943600" cy="2091055"/>
                    </a:xfrm>
                    <a:prstGeom prst="rect">
                      <a:avLst/>
                    </a:prstGeom>
                    <a:ln w="38100">
                      <a:solidFill>
                        <a:schemeClr val="tx1"/>
                      </a:solidFill>
                    </a:ln>
                  </pic:spPr>
                </pic:pic>
              </a:graphicData>
            </a:graphic>
          </wp:inline>
        </w:drawing>
      </w:r>
    </w:p>
    <w:p w14:paraId="7C222FD8" w14:textId="6BA8C411" w:rsidR="00C0220B" w:rsidRPr="000113B8" w:rsidRDefault="00C0220B" w:rsidP="00C0220B">
      <w:pPr>
        <w:jc w:val="center"/>
        <w:rPr>
          <w:rFonts w:ascii="Garamond" w:eastAsia="Batang" w:hAnsi="Garamond" w:cs="Arial"/>
          <w:color w:val="000000" w:themeColor="text1"/>
        </w:rPr>
      </w:pPr>
      <w:r w:rsidRPr="000113B8">
        <w:rPr>
          <w:rFonts w:ascii="Garamond" w:eastAsia="Batang" w:hAnsi="Garamond" w:cs="Arial"/>
          <w:color w:val="000000" w:themeColor="text1"/>
        </w:rPr>
        <w:t xml:space="preserve">Fuente: DANE – Boletín técnico Índice de Precios al Consumidor (IPC) del </w:t>
      </w:r>
      <w:r w:rsidR="00691046" w:rsidRPr="000113B8">
        <w:rPr>
          <w:rFonts w:ascii="Garamond" w:eastAsia="Batang" w:hAnsi="Garamond" w:cs="Arial"/>
          <w:color w:val="000000" w:themeColor="text1"/>
        </w:rPr>
        <w:t>09 de abril</w:t>
      </w:r>
      <w:r w:rsidRPr="000113B8">
        <w:rPr>
          <w:rFonts w:ascii="Garamond" w:eastAsia="Batang" w:hAnsi="Garamond" w:cs="Arial"/>
          <w:color w:val="000000" w:themeColor="text1"/>
        </w:rPr>
        <w:t xml:space="preserve"> de 2026</w:t>
      </w:r>
    </w:p>
    <w:p w14:paraId="46927A23" w14:textId="77777777" w:rsidR="00C0220B" w:rsidRPr="000113B8" w:rsidRDefault="00C0220B" w:rsidP="00C0220B">
      <w:pPr>
        <w:jc w:val="center"/>
        <w:rPr>
          <w:rFonts w:ascii="Garamond" w:eastAsia="Batang" w:hAnsi="Garamond" w:cs="Arial"/>
          <w:color w:val="000000" w:themeColor="text1"/>
          <w:lang w:val="es-ES_tradnl"/>
        </w:rPr>
      </w:pPr>
    </w:p>
    <w:p w14:paraId="3B7D5763" w14:textId="052D0E5A" w:rsidR="00691046" w:rsidRPr="000113B8" w:rsidRDefault="00C0220B" w:rsidP="00691046">
      <w:pPr>
        <w:jc w:val="both"/>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 xml:space="preserve">El Departamento Administrativo Nacional de Estadística (DANE) reveló que, en el mes de </w:t>
      </w:r>
      <w:r w:rsidR="00691046" w:rsidRPr="000113B8">
        <w:rPr>
          <w:rFonts w:ascii="Garamond" w:eastAsia="Batang" w:hAnsi="Garamond" w:cs="Arial"/>
          <w:color w:val="000000" w:themeColor="text1"/>
          <w:lang w:val="es-ES_tradnl"/>
        </w:rPr>
        <w:t>marzo de 2026 la variación mensual del IPC fue 0,78%, la variación año corrido fue 3,07% y la anual 5,56%.En marzo de 2026 la variación anual del IPC fue 5,56%, es decir, 0,47 puntos porcentuales mayor que la reportada en el mismo periodo del año anterior, cuando fue de 5,09%.</w:t>
      </w:r>
    </w:p>
    <w:p w14:paraId="528E35AC" w14:textId="77777777" w:rsidR="00691046" w:rsidRPr="000113B8" w:rsidRDefault="00691046" w:rsidP="00691046">
      <w:pPr>
        <w:jc w:val="both"/>
        <w:rPr>
          <w:rFonts w:ascii="Garamond" w:eastAsia="Batang" w:hAnsi="Garamond" w:cs="Arial"/>
          <w:color w:val="000000" w:themeColor="text1"/>
          <w:lang w:val="es-ES_tradnl"/>
        </w:rPr>
      </w:pPr>
    </w:p>
    <w:p w14:paraId="059953E8" w14:textId="34ADF6FB" w:rsidR="00C0220B" w:rsidRPr="000113B8" w:rsidRDefault="00691046" w:rsidP="00691046">
      <w:pPr>
        <w:jc w:val="both"/>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 xml:space="preserve">El comportamiento mensual del IPC total en marzo de 2026 (0,78%) se explicó principalmente por la variación </w:t>
      </w:r>
      <w:r w:rsidRPr="000113B8">
        <w:rPr>
          <w:rFonts w:ascii="Garamond" w:eastAsia="Batang" w:hAnsi="Garamond" w:cs="Arial"/>
          <w:color w:val="000000" w:themeColor="text1"/>
          <w:lang w:val="es-ES_tradnl"/>
        </w:rPr>
        <w:lastRenderedPageBreak/>
        <w:t>mensual de las divisiones Alojamiento, agua, electricidad, gas y otros combustibles y Alimentos y bebidas no alcohólicas. Las mayores variaciones se presentaron en las divisiones Información y comunicación (2,96%) y Alimentos y bebidas no alcohólicas (1,27%).</w:t>
      </w:r>
    </w:p>
    <w:p w14:paraId="4B1F4871" w14:textId="77777777" w:rsidR="00691046" w:rsidRPr="000113B8" w:rsidRDefault="00691046" w:rsidP="00691046">
      <w:pPr>
        <w:jc w:val="both"/>
        <w:rPr>
          <w:rFonts w:ascii="Garamond" w:eastAsia="Batang" w:hAnsi="Garamond" w:cs="Arial"/>
          <w:color w:val="000000" w:themeColor="text1"/>
          <w:lang w:val="es-ES_tradnl"/>
        </w:rPr>
      </w:pPr>
    </w:p>
    <w:p w14:paraId="66349790" w14:textId="77777777" w:rsidR="00C0220B" w:rsidRPr="000113B8" w:rsidRDefault="00C0220B" w:rsidP="00C54B99">
      <w:pPr>
        <w:pStyle w:val="Prrafodelista"/>
        <w:widowControl/>
        <w:numPr>
          <w:ilvl w:val="0"/>
          <w:numId w:val="8"/>
        </w:numPr>
        <w:autoSpaceDE/>
        <w:autoSpaceDN/>
        <w:spacing w:before="0" w:after="200"/>
        <w:contextualSpacing/>
        <w:jc w:val="both"/>
        <w:rPr>
          <w:rFonts w:ascii="Garamond" w:eastAsia="Batang" w:hAnsi="Garamond" w:cs="Arial"/>
          <w:b/>
          <w:bCs/>
          <w:color w:val="000000" w:themeColor="text1"/>
        </w:rPr>
      </w:pPr>
      <w:r w:rsidRPr="000113B8">
        <w:rPr>
          <w:rFonts w:ascii="Garamond" w:eastAsia="Batang" w:hAnsi="Garamond" w:cs="Arial"/>
          <w:b/>
          <w:bCs/>
          <w:color w:val="000000" w:themeColor="text1"/>
        </w:rPr>
        <w:t>Variación y contribución mensual por divisiones de gasto</w:t>
      </w:r>
    </w:p>
    <w:p w14:paraId="50B0B7B1" w14:textId="60D923A6" w:rsidR="00C0220B" w:rsidRPr="000113B8" w:rsidRDefault="00927D42" w:rsidP="00927D42">
      <w:pPr>
        <w:jc w:val="both"/>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 xml:space="preserve">En el mes de marzo de 2026, el IPC registró una variación de 0,78% en comparación con febrero de 2026, ocho divisiones se ubicaron por encima del promedio nacional (0,78%): Información y comunicación (2,96%), Alimentos y bebidas no alcohólicas (1,27%), Salud (1,06%), Bienes y servicios diversos (0,95%), Muebles, artículos para el hogar y para la conservación ordinaria del hogar (0,90%), Recreación y cultura (0,88%), Restaurantes y hoteles (0,86%) y por último, Alojamiento, agua, electricidad, gas y otros combustibles (0,85%). Por debajo se ubicaron: Prendas de vestir y calzado (0,19%), Educación (0,17%), Transporte (-0,22%) </w:t>
      </w:r>
      <w:proofErr w:type="gramStart"/>
      <w:r w:rsidRPr="000113B8">
        <w:rPr>
          <w:rFonts w:ascii="Garamond" w:eastAsia="Batang" w:hAnsi="Garamond" w:cs="Arial"/>
          <w:color w:val="000000" w:themeColor="text1"/>
          <w:lang w:val="es-ES_tradnl"/>
        </w:rPr>
        <w:t>y</w:t>
      </w:r>
      <w:proofErr w:type="gramEnd"/>
      <w:r w:rsidRPr="000113B8">
        <w:rPr>
          <w:rFonts w:ascii="Garamond" w:eastAsia="Batang" w:hAnsi="Garamond" w:cs="Arial"/>
          <w:color w:val="000000" w:themeColor="text1"/>
          <w:lang w:val="es-ES_tradnl"/>
        </w:rPr>
        <w:t xml:space="preserve"> por último, Bebidas alcohólicas y tabaco (-0,37%).</w:t>
      </w:r>
    </w:p>
    <w:p w14:paraId="2683D1ED" w14:textId="44B41115" w:rsidR="00C0220B" w:rsidRPr="000113B8" w:rsidRDefault="006A584D" w:rsidP="00C0220B">
      <w:pPr>
        <w:jc w:val="center"/>
        <w:rPr>
          <w:rFonts w:ascii="Garamond" w:eastAsia="Batang" w:hAnsi="Garamond" w:cs="Arial"/>
          <w:color w:val="000000" w:themeColor="text1"/>
        </w:rPr>
      </w:pPr>
      <w:r w:rsidRPr="000113B8">
        <w:rPr>
          <w:rFonts w:ascii="Garamond" w:eastAsia="Batang" w:hAnsi="Garamond" w:cs="Arial"/>
          <w:noProof/>
          <w:color w:val="000000" w:themeColor="text1"/>
        </w:rPr>
        <w:drawing>
          <wp:inline distT="0" distB="0" distL="0" distR="0" wp14:anchorId="4B001DDB" wp14:editId="3C1EBB07">
            <wp:extent cx="5943600" cy="2616200"/>
            <wp:effectExtent l="38100" t="38100" r="38100" b="31750"/>
            <wp:docPr id="174644669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446698" name=""/>
                    <pic:cNvPicPr/>
                  </pic:nvPicPr>
                  <pic:blipFill>
                    <a:blip r:embed="rId16"/>
                    <a:stretch>
                      <a:fillRect/>
                    </a:stretch>
                  </pic:blipFill>
                  <pic:spPr>
                    <a:xfrm>
                      <a:off x="0" y="0"/>
                      <a:ext cx="5943600" cy="2616200"/>
                    </a:xfrm>
                    <a:prstGeom prst="rect">
                      <a:avLst/>
                    </a:prstGeom>
                    <a:ln w="38100">
                      <a:solidFill>
                        <a:schemeClr val="tx1"/>
                      </a:solidFill>
                    </a:ln>
                  </pic:spPr>
                </pic:pic>
              </a:graphicData>
            </a:graphic>
          </wp:inline>
        </w:drawing>
      </w:r>
    </w:p>
    <w:p w14:paraId="53DFEF9F" w14:textId="77777777" w:rsidR="006A584D" w:rsidRPr="000113B8" w:rsidRDefault="006A584D" w:rsidP="006A584D">
      <w:pPr>
        <w:jc w:val="center"/>
        <w:rPr>
          <w:rFonts w:ascii="Garamond" w:eastAsia="Batang" w:hAnsi="Garamond" w:cs="Arial"/>
          <w:color w:val="000000" w:themeColor="text1"/>
        </w:rPr>
      </w:pPr>
      <w:r w:rsidRPr="000113B8">
        <w:rPr>
          <w:rFonts w:ascii="Garamond" w:eastAsia="Batang" w:hAnsi="Garamond" w:cs="Arial"/>
          <w:color w:val="000000" w:themeColor="text1"/>
        </w:rPr>
        <w:t>Fuente: DANE – Boletín técnico Índice de Precios al Consumidor (IPC) del 09 de abril de 2026</w:t>
      </w:r>
    </w:p>
    <w:p w14:paraId="242C4F97" w14:textId="77777777" w:rsidR="00C0220B" w:rsidRPr="000113B8" w:rsidRDefault="00C0220B" w:rsidP="00C0220B">
      <w:pPr>
        <w:jc w:val="center"/>
        <w:rPr>
          <w:rFonts w:ascii="Garamond" w:eastAsia="Batang" w:hAnsi="Garamond" w:cs="Arial"/>
          <w:color w:val="000000" w:themeColor="text1"/>
        </w:rPr>
      </w:pPr>
    </w:p>
    <w:p w14:paraId="52F61A5D" w14:textId="77777777" w:rsidR="00C0220B" w:rsidRPr="000113B8" w:rsidRDefault="00C0220B" w:rsidP="00C0220B">
      <w:pPr>
        <w:jc w:val="both"/>
        <w:rPr>
          <w:rFonts w:ascii="Garamond" w:eastAsia="Batang" w:hAnsi="Garamond" w:cs="Arial"/>
          <w:bCs/>
          <w:color w:val="000000" w:themeColor="text1"/>
          <w:lang w:val="es-ES_tradnl"/>
        </w:rPr>
      </w:pPr>
      <w:r w:rsidRPr="000113B8">
        <w:rPr>
          <w:rFonts w:ascii="Garamond" w:eastAsia="Batang" w:hAnsi="Garamond" w:cs="Arial"/>
          <w:bCs/>
          <w:color w:val="000000" w:themeColor="text1"/>
          <w:lang w:val="es-ES_tradnl"/>
        </w:rPr>
        <w:t xml:space="preserve">A manera de conclusión, se tiene que el IPC influye de manera directa en el valor de las primas que cobran las compañías de seguros a los tomadores de seguros, en la medida que al reflejarse un aumento general de precios (costos de reparación, insumos, salarios), no existe una alternativa diferente para las aseguradoras que incrementar los costos con la finalidad de contar con las reservar necesarias para cubrir los siniestros y los costos operativos que intervienen en la ejecución de la actividad </w:t>
      </w:r>
      <w:proofErr w:type="spellStart"/>
      <w:r w:rsidRPr="000113B8">
        <w:rPr>
          <w:rFonts w:ascii="Garamond" w:eastAsia="Batang" w:hAnsi="Garamond" w:cs="Arial"/>
          <w:bCs/>
          <w:color w:val="000000" w:themeColor="text1"/>
          <w:lang w:val="es-ES_tradnl"/>
        </w:rPr>
        <w:t>aseguraticia</w:t>
      </w:r>
      <w:proofErr w:type="spellEnd"/>
      <w:r w:rsidRPr="000113B8">
        <w:rPr>
          <w:rFonts w:ascii="Garamond" w:eastAsia="Batang" w:hAnsi="Garamond" w:cs="Arial"/>
          <w:bCs/>
          <w:color w:val="000000" w:themeColor="text1"/>
          <w:lang w:val="es-ES_tradnl"/>
        </w:rPr>
        <w:t>.</w:t>
      </w:r>
    </w:p>
    <w:p w14:paraId="465E38B4" w14:textId="77777777" w:rsidR="00C0220B" w:rsidRPr="000113B8" w:rsidRDefault="00C0220B" w:rsidP="00C0220B">
      <w:pPr>
        <w:jc w:val="both"/>
        <w:rPr>
          <w:rFonts w:ascii="Garamond" w:eastAsia="Batang" w:hAnsi="Garamond" w:cs="Arial"/>
          <w:bCs/>
          <w:color w:val="000000" w:themeColor="text1"/>
          <w:lang w:val="es-ES_tradnl"/>
        </w:rPr>
      </w:pPr>
    </w:p>
    <w:p w14:paraId="27B21FD8" w14:textId="77777777" w:rsidR="00C0220B" w:rsidRPr="000113B8" w:rsidRDefault="00C0220B" w:rsidP="00C54B99">
      <w:pPr>
        <w:pStyle w:val="Prrafodelista"/>
        <w:widowControl/>
        <w:numPr>
          <w:ilvl w:val="0"/>
          <w:numId w:val="7"/>
        </w:numPr>
        <w:autoSpaceDE/>
        <w:autoSpaceDN/>
        <w:spacing w:before="0" w:after="200"/>
        <w:contextualSpacing/>
        <w:jc w:val="both"/>
        <w:rPr>
          <w:rFonts w:ascii="Garamond" w:hAnsi="Garamond"/>
          <w:b/>
          <w:color w:val="000000" w:themeColor="text1"/>
        </w:rPr>
      </w:pPr>
      <w:r w:rsidRPr="000113B8">
        <w:rPr>
          <w:rFonts w:ascii="Garamond" w:hAnsi="Garamond"/>
          <w:b/>
          <w:color w:val="000000" w:themeColor="text1"/>
        </w:rPr>
        <w:t>Salario mínimo</w:t>
      </w:r>
    </w:p>
    <w:p w14:paraId="777C5BC3" w14:textId="77777777" w:rsidR="00C0220B" w:rsidRPr="000113B8" w:rsidRDefault="00C0220B" w:rsidP="00C0220B">
      <w:pPr>
        <w:jc w:val="both"/>
        <w:rPr>
          <w:rFonts w:ascii="Garamond" w:hAnsi="Garamond"/>
          <w:noProof/>
          <w:color w:val="000000" w:themeColor="text1"/>
          <w:lang w:eastAsia="es-CO"/>
        </w:rPr>
      </w:pPr>
      <w:r w:rsidRPr="000113B8">
        <w:rPr>
          <w:rFonts w:ascii="Garamond" w:hAnsi="Garamond"/>
          <w:noProof/>
          <w:color w:val="000000" w:themeColor="text1"/>
          <w:lang w:eastAsia="es-CO"/>
        </w:rPr>
        <w:t>Como es de suponerse el salario mínimo al igual que el Índice de Precios al Consumidor crecen anualmente en cualquier economía que se considere competitiva.</w:t>
      </w:r>
    </w:p>
    <w:p w14:paraId="78D92DD0" w14:textId="77777777" w:rsidR="00C0220B" w:rsidRPr="000113B8" w:rsidRDefault="00C0220B" w:rsidP="00C0220B">
      <w:pPr>
        <w:jc w:val="both"/>
        <w:rPr>
          <w:rFonts w:ascii="Garamond" w:hAnsi="Garamond"/>
          <w:noProof/>
          <w:color w:val="000000" w:themeColor="text1"/>
          <w:lang w:eastAsia="es-CO"/>
        </w:rPr>
      </w:pPr>
    </w:p>
    <w:p w14:paraId="3EBF8D02" w14:textId="77777777" w:rsidR="00C0220B" w:rsidRPr="000113B8" w:rsidRDefault="00C0220B" w:rsidP="00C0220B">
      <w:pPr>
        <w:jc w:val="both"/>
        <w:rPr>
          <w:rFonts w:ascii="Garamond" w:hAnsi="Garamond"/>
          <w:noProof/>
          <w:color w:val="000000" w:themeColor="text1"/>
          <w:lang w:eastAsia="es-CO"/>
        </w:rPr>
      </w:pPr>
      <w:r w:rsidRPr="000113B8">
        <w:rPr>
          <w:rFonts w:ascii="Garamond" w:hAnsi="Garamond"/>
          <w:noProof/>
          <w:color w:val="000000" w:themeColor="text1"/>
          <w:lang w:eastAsia="es-CO"/>
        </w:rPr>
        <w:t>A continuación, se muestra la evolución histórica del salario mínimo desde el año 2015 hasta el año 2026.</w:t>
      </w:r>
    </w:p>
    <w:p w14:paraId="559156B9" w14:textId="77777777" w:rsidR="00C0220B" w:rsidRPr="000113B8" w:rsidRDefault="00C0220B" w:rsidP="00C0220B">
      <w:pPr>
        <w:jc w:val="both"/>
        <w:rPr>
          <w:rFonts w:ascii="Garamond" w:hAnsi="Garamond"/>
          <w:b/>
          <w:bCs/>
          <w:noProof/>
          <w:color w:val="000000" w:themeColor="text1"/>
          <w:lang w:eastAsia="es-CO"/>
        </w:rPr>
      </w:pPr>
    </w:p>
    <w:tbl>
      <w:tblPr>
        <w:tblW w:w="8458"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908"/>
        <w:gridCol w:w="1517"/>
        <w:gridCol w:w="2011"/>
        <w:gridCol w:w="2011"/>
        <w:gridCol w:w="2011"/>
      </w:tblGrid>
      <w:tr w:rsidR="009A7F8F" w:rsidRPr="000113B8" w14:paraId="1B6F9B2F" w14:textId="77777777" w:rsidTr="00EC7684">
        <w:trPr>
          <w:trHeight w:val="26"/>
          <w:jc w:val="center"/>
        </w:trPr>
        <w:tc>
          <w:tcPr>
            <w:tcW w:w="908" w:type="dxa"/>
            <w:vAlign w:val="center"/>
            <w:hideMark/>
          </w:tcPr>
          <w:p w14:paraId="43B8DE9C" w14:textId="77777777" w:rsidR="00C0220B" w:rsidRPr="000113B8" w:rsidRDefault="00C0220B" w:rsidP="00EC7684">
            <w:pPr>
              <w:jc w:val="center"/>
              <w:rPr>
                <w:rFonts w:ascii="Garamond" w:eastAsia="Batang" w:hAnsi="Garamond" w:cs="Arial"/>
                <w:b/>
                <w:bCs/>
                <w:color w:val="000000" w:themeColor="text1"/>
                <w:lang w:val="es-ES_tradnl"/>
              </w:rPr>
            </w:pPr>
            <w:r w:rsidRPr="000113B8">
              <w:rPr>
                <w:rFonts w:ascii="Garamond" w:eastAsia="Batang" w:hAnsi="Garamond" w:cs="Arial"/>
                <w:b/>
                <w:bCs/>
                <w:color w:val="000000" w:themeColor="text1"/>
                <w:lang w:val="es-ES_tradnl"/>
              </w:rPr>
              <w:t>Año</w:t>
            </w:r>
          </w:p>
        </w:tc>
        <w:tc>
          <w:tcPr>
            <w:tcW w:w="1517" w:type="dxa"/>
            <w:vAlign w:val="center"/>
            <w:hideMark/>
          </w:tcPr>
          <w:p w14:paraId="2640D3A0" w14:textId="77777777" w:rsidR="00C0220B" w:rsidRPr="000113B8" w:rsidRDefault="00C0220B" w:rsidP="00EC7684">
            <w:pPr>
              <w:jc w:val="center"/>
              <w:rPr>
                <w:rFonts w:ascii="Garamond" w:eastAsia="Batang" w:hAnsi="Garamond" w:cs="Arial"/>
                <w:b/>
                <w:bCs/>
                <w:color w:val="000000" w:themeColor="text1"/>
                <w:lang w:val="es-ES_tradnl"/>
              </w:rPr>
            </w:pPr>
            <w:r w:rsidRPr="000113B8">
              <w:rPr>
                <w:rFonts w:ascii="Garamond" w:eastAsia="Batang" w:hAnsi="Garamond" w:cs="Arial"/>
                <w:b/>
                <w:bCs/>
                <w:color w:val="000000" w:themeColor="text1"/>
                <w:lang w:val="es-ES_tradnl"/>
              </w:rPr>
              <w:t>Salario mínimo</w:t>
            </w:r>
          </w:p>
        </w:tc>
        <w:tc>
          <w:tcPr>
            <w:tcW w:w="2011" w:type="dxa"/>
            <w:vAlign w:val="center"/>
          </w:tcPr>
          <w:p w14:paraId="20036982" w14:textId="77777777" w:rsidR="00C0220B" w:rsidRPr="000113B8" w:rsidRDefault="00C0220B" w:rsidP="00EC7684">
            <w:pPr>
              <w:jc w:val="center"/>
              <w:rPr>
                <w:rFonts w:ascii="Garamond" w:eastAsia="Batang" w:hAnsi="Garamond" w:cs="Arial"/>
                <w:b/>
                <w:bCs/>
                <w:color w:val="000000" w:themeColor="text1"/>
                <w:lang w:val="es-ES_tradnl"/>
              </w:rPr>
            </w:pPr>
            <w:r w:rsidRPr="000113B8">
              <w:rPr>
                <w:rFonts w:ascii="Garamond" w:eastAsia="Batang" w:hAnsi="Garamond" w:cs="Arial"/>
                <w:b/>
                <w:bCs/>
                <w:color w:val="000000" w:themeColor="text1"/>
                <w:lang w:val="es-ES_tradnl"/>
              </w:rPr>
              <w:t>Variación porcentual</w:t>
            </w:r>
          </w:p>
        </w:tc>
        <w:tc>
          <w:tcPr>
            <w:tcW w:w="2011" w:type="dxa"/>
            <w:vAlign w:val="center"/>
          </w:tcPr>
          <w:p w14:paraId="3DF36589" w14:textId="77777777" w:rsidR="00C0220B" w:rsidRPr="000113B8" w:rsidRDefault="00C0220B" w:rsidP="00EC7684">
            <w:pPr>
              <w:jc w:val="center"/>
              <w:rPr>
                <w:rFonts w:ascii="Garamond" w:eastAsia="Batang" w:hAnsi="Garamond" w:cs="Arial"/>
                <w:b/>
                <w:bCs/>
                <w:color w:val="000000" w:themeColor="text1"/>
                <w:lang w:val="es-ES_tradnl"/>
              </w:rPr>
            </w:pPr>
            <w:r w:rsidRPr="000113B8">
              <w:rPr>
                <w:rFonts w:ascii="Garamond" w:eastAsia="Batang" w:hAnsi="Garamond" w:cs="Arial"/>
                <w:b/>
                <w:bCs/>
                <w:color w:val="000000" w:themeColor="text1"/>
                <w:lang w:val="es-ES_tradnl"/>
              </w:rPr>
              <w:t>Auxilio de transporte</w:t>
            </w:r>
          </w:p>
        </w:tc>
        <w:tc>
          <w:tcPr>
            <w:tcW w:w="2011" w:type="dxa"/>
            <w:vAlign w:val="center"/>
            <w:hideMark/>
          </w:tcPr>
          <w:p w14:paraId="3D8B1349" w14:textId="77777777" w:rsidR="00C0220B" w:rsidRPr="000113B8" w:rsidRDefault="00C0220B" w:rsidP="00EC7684">
            <w:pPr>
              <w:jc w:val="center"/>
              <w:rPr>
                <w:rFonts w:ascii="Garamond" w:eastAsia="Batang" w:hAnsi="Garamond" w:cs="Arial"/>
                <w:b/>
                <w:bCs/>
                <w:color w:val="000000" w:themeColor="text1"/>
                <w:lang w:val="es-ES_tradnl"/>
              </w:rPr>
            </w:pPr>
            <w:r w:rsidRPr="000113B8">
              <w:rPr>
                <w:rFonts w:ascii="Garamond" w:eastAsia="Batang" w:hAnsi="Garamond" w:cs="Arial"/>
                <w:b/>
                <w:bCs/>
                <w:color w:val="000000" w:themeColor="text1"/>
                <w:lang w:val="es-ES_tradnl"/>
              </w:rPr>
              <w:t>Variación porcentual</w:t>
            </w:r>
          </w:p>
        </w:tc>
      </w:tr>
      <w:tr w:rsidR="009A7F8F" w:rsidRPr="000113B8" w14:paraId="3EA3EC83" w14:textId="77777777" w:rsidTr="00EC7684">
        <w:trPr>
          <w:trHeight w:val="26"/>
          <w:jc w:val="center"/>
        </w:trPr>
        <w:tc>
          <w:tcPr>
            <w:tcW w:w="908" w:type="dxa"/>
            <w:shd w:val="clear" w:color="auto" w:fill="F2F2F2"/>
            <w:vAlign w:val="center"/>
          </w:tcPr>
          <w:p w14:paraId="23A10E60" w14:textId="77777777" w:rsidR="00C0220B" w:rsidRPr="000113B8" w:rsidRDefault="00C0220B" w:rsidP="00EC7684">
            <w:pPr>
              <w:jc w:val="center"/>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2026</w:t>
            </w:r>
          </w:p>
        </w:tc>
        <w:tc>
          <w:tcPr>
            <w:tcW w:w="1517" w:type="dxa"/>
            <w:shd w:val="clear" w:color="auto" w:fill="F2F2F2"/>
            <w:vAlign w:val="center"/>
          </w:tcPr>
          <w:p w14:paraId="74B14A78" w14:textId="77777777" w:rsidR="00C0220B" w:rsidRPr="000113B8" w:rsidRDefault="00C0220B" w:rsidP="00EC7684">
            <w:pPr>
              <w:jc w:val="center"/>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$1.750.905</w:t>
            </w:r>
          </w:p>
        </w:tc>
        <w:tc>
          <w:tcPr>
            <w:tcW w:w="2011" w:type="dxa"/>
            <w:shd w:val="clear" w:color="auto" w:fill="F2F2F2"/>
            <w:vAlign w:val="center"/>
          </w:tcPr>
          <w:p w14:paraId="5082D661" w14:textId="77777777" w:rsidR="00C0220B" w:rsidRPr="000113B8" w:rsidRDefault="00C0220B" w:rsidP="00EC7684">
            <w:pPr>
              <w:jc w:val="center"/>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23.70%</w:t>
            </w:r>
          </w:p>
        </w:tc>
        <w:tc>
          <w:tcPr>
            <w:tcW w:w="2011" w:type="dxa"/>
            <w:shd w:val="clear" w:color="auto" w:fill="F2F2F2"/>
            <w:vAlign w:val="center"/>
          </w:tcPr>
          <w:p w14:paraId="46671996" w14:textId="77777777" w:rsidR="00C0220B" w:rsidRPr="000113B8" w:rsidRDefault="00C0220B" w:rsidP="00EC7684">
            <w:pPr>
              <w:jc w:val="center"/>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$249.095</w:t>
            </w:r>
          </w:p>
        </w:tc>
        <w:tc>
          <w:tcPr>
            <w:tcW w:w="2011" w:type="dxa"/>
            <w:shd w:val="clear" w:color="auto" w:fill="F2F2F2"/>
            <w:vAlign w:val="center"/>
          </w:tcPr>
          <w:p w14:paraId="7C4D5ADE" w14:textId="77777777" w:rsidR="00C0220B" w:rsidRPr="000113B8" w:rsidRDefault="00C0220B" w:rsidP="00EC7684">
            <w:pPr>
              <w:jc w:val="center"/>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24.54%</w:t>
            </w:r>
          </w:p>
        </w:tc>
      </w:tr>
      <w:tr w:rsidR="009A7F8F" w:rsidRPr="000113B8" w14:paraId="68E5B0DD" w14:textId="77777777" w:rsidTr="00EC7684">
        <w:trPr>
          <w:trHeight w:val="26"/>
          <w:jc w:val="center"/>
        </w:trPr>
        <w:tc>
          <w:tcPr>
            <w:tcW w:w="908" w:type="dxa"/>
            <w:vAlign w:val="center"/>
            <w:hideMark/>
          </w:tcPr>
          <w:p w14:paraId="31B52CCA" w14:textId="77777777" w:rsidR="00C0220B" w:rsidRPr="000113B8" w:rsidRDefault="00C0220B" w:rsidP="00EC7684">
            <w:pPr>
              <w:jc w:val="center"/>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2025</w:t>
            </w:r>
          </w:p>
        </w:tc>
        <w:tc>
          <w:tcPr>
            <w:tcW w:w="1517" w:type="dxa"/>
            <w:vAlign w:val="center"/>
            <w:hideMark/>
          </w:tcPr>
          <w:p w14:paraId="0E841B00" w14:textId="77777777" w:rsidR="00C0220B" w:rsidRPr="000113B8" w:rsidRDefault="00C0220B" w:rsidP="00EC7684">
            <w:pPr>
              <w:jc w:val="center"/>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$1.423.500</w:t>
            </w:r>
          </w:p>
        </w:tc>
        <w:tc>
          <w:tcPr>
            <w:tcW w:w="2011" w:type="dxa"/>
            <w:vAlign w:val="center"/>
          </w:tcPr>
          <w:p w14:paraId="7D0C8BC3" w14:textId="77777777" w:rsidR="00C0220B" w:rsidRPr="000113B8" w:rsidRDefault="00C0220B" w:rsidP="00EC7684">
            <w:pPr>
              <w:jc w:val="center"/>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9.53%</w:t>
            </w:r>
          </w:p>
        </w:tc>
        <w:tc>
          <w:tcPr>
            <w:tcW w:w="2011" w:type="dxa"/>
            <w:vAlign w:val="center"/>
          </w:tcPr>
          <w:p w14:paraId="655AC3F4" w14:textId="77777777" w:rsidR="00C0220B" w:rsidRPr="000113B8" w:rsidRDefault="00C0220B" w:rsidP="00EC7684">
            <w:pPr>
              <w:jc w:val="center"/>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$200.000</w:t>
            </w:r>
          </w:p>
        </w:tc>
        <w:tc>
          <w:tcPr>
            <w:tcW w:w="2011" w:type="dxa"/>
            <w:vAlign w:val="center"/>
          </w:tcPr>
          <w:p w14:paraId="661C5B41" w14:textId="77777777" w:rsidR="00C0220B" w:rsidRPr="000113B8" w:rsidRDefault="00C0220B" w:rsidP="00EC7684">
            <w:pPr>
              <w:jc w:val="center"/>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23.45%</w:t>
            </w:r>
          </w:p>
        </w:tc>
      </w:tr>
      <w:tr w:rsidR="009A7F8F" w:rsidRPr="000113B8" w14:paraId="4006DF0B" w14:textId="77777777" w:rsidTr="00EC7684">
        <w:trPr>
          <w:trHeight w:val="26"/>
          <w:jc w:val="center"/>
        </w:trPr>
        <w:tc>
          <w:tcPr>
            <w:tcW w:w="908" w:type="dxa"/>
            <w:shd w:val="clear" w:color="auto" w:fill="F2F2F2"/>
            <w:vAlign w:val="center"/>
            <w:hideMark/>
          </w:tcPr>
          <w:p w14:paraId="4EBF0FD6" w14:textId="77777777" w:rsidR="00C0220B" w:rsidRPr="000113B8" w:rsidRDefault="00C0220B" w:rsidP="00EC7684">
            <w:pPr>
              <w:jc w:val="center"/>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2024</w:t>
            </w:r>
          </w:p>
        </w:tc>
        <w:tc>
          <w:tcPr>
            <w:tcW w:w="1517" w:type="dxa"/>
            <w:shd w:val="clear" w:color="auto" w:fill="F2F2F2"/>
            <w:vAlign w:val="center"/>
            <w:hideMark/>
          </w:tcPr>
          <w:p w14:paraId="12CF60C2" w14:textId="77777777" w:rsidR="00C0220B" w:rsidRPr="000113B8" w:rsidRDefault="00C0220B" w:rsidP="00EC7684">
            <w:pPr>
              <w:jc w:val="center"/>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$1.300.000</w:t>
            </w:r>
          </w:p>
        </w:tc>
        <w:tc>
          <w:tcPr>
            <w:tcW w:w="2011" w:type="dxa"/>
            <w:shd w:val="clear" w:color="auto" w:fill="F2F2F2"/>
            <w:vAlign w:val="center"/>
          </w:tcPr>
          <w:p w14:paraId="38BFA80D" w14:textId="77777777" w:rsidR="00C0220B" w:rsidRPr="000113B8" w:rsidRDefault="00C0220B" w:rsidP="00EC7684">
            <w:pPr>
              <w:jc w:val="center"/>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12.00%</w:t>
            </w:r>
          </w:p>
        </w:tc>
        <w:tc>
          <w:tcPr>
            <w:tcW w:w="2011" w:type="dxa"/>
            <w:shd w:val="clear" w:color="auto" w:fill="F2F2F2"/>
            <w:vAlign w:val="center"/>
          </w:tcPr>
          <w:p w14:paraId="2B9ECFB1" w14:textId="77777777" w:rsidR="00C0220B" w:rsidRPr="000113B8" w:rsidRDefault="00C0220B" w:rsidP="00EC7684">
            <w:pPr>
              <w:jc w:val="center"/>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$162.000</w:t>
            </w:r>
          </w:p>
        </w:tc>
        <w:tc>
          <w:tcPr>
            <w:tcW w:w="2011" w:type="dxa"/>
            <w:shd w:val="clear" w:color="auto" w:fill="F2F2F2"/>
            <w:vAlign w:val="center"/>
          </w:tcPr>
          <w:p w14:paraId="06929265" w14:textId="77777777" w:rsidR="00C0220B" w:rsidRPr="000113B8" w:rsidRDefault="00C0220B" w:rsidP="00EC7684">
            <w:pPr>
              <w:jc w:val="center"/>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15.22%</w:t>
            </w:r>
          </w:p>
        </w:tc>
      </w:tr>
      <w:tr w:rsidR="009A7F8F" w:rsidRPr="000113B8" w14:paraId="06C19A22" w14:textId="77777777" w:rsidTr="00EC7684">
        <w:trPr>
          <w:trHeight w:val="26"/>
          <w:jc w:val="center"/>
        </w:trPr>
        <w:tc>
          <w:tcPr>
            <w:tcW w:w="908" w:type="dxa"/>
            <w:vAlign w:val="center"/>
            <w:hideMark/>
          </w:tcPr>
          <w:p w14:paraId="62A7853B" w14:textId="77777777" w:rsidR="00C0220B" w:rsidRPr="000113B8" w:rsidRDefault="00C0220B" w:rsidP="00EC7684">
            <w:pPr>
              <w:jc w:val="center"/>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2023</w:t>
            </w:r>
          </w:p>
        </w:tc>
        <w:tc>
          <w:tcPr>
            <w:tcW w:w="1517" w:type="dxa"/>
            <w:vAlign w:val="center"/>
            <w:hideMark/>
          </w:tcPr>
          <w:p w14:paraId="4FAF1946" w14:textId="77777777" w:rsidR="00C0220B" w:rsidRPr="000113B8" w:rsidRDefault="00C0220B" w:rsidP="00EC7684">
            <w:pPr>
              <w:jc w:val="center"/>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$1.160.000</w:t>
            </w:r>
          </w:p>
        </w:tc>
        <w:tc>
          <w:tcPr>
            <w:tcW w:w="2011" w:type="dxa"/>
            <w:vAlign w:val="center"/>
          </w:tcPr>
          <w:p w14:paraId="0B698167" w14:textId="77777777" w:rsidR="00C0220B" w:rsidRPr="000113B8" w:rsidRDefault="00C0220B" w:rsidP="00EC7684">
            <w:pPr>
              <w:jc w:val="center"/>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16.00%</w:t>
            </w:r>
          </w:p>
        </w:tc>
        <w:tc>
          <w:tcPr>
            <w:tcW w:w="2011" w:type="dxa"/>
            <w:vAlign w:val="center"/>
          </w:tcPr>
          <w:p w14:paraId="69960044" w14:textId="77777777" w:rsidR="00C0220B" w:rsidRPr="000113B8" w:rsidRDefault="00C0220B" w:rsidP="00EC7684">
            <w:pPr>
              <w:jc w:val="center"/>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$140.606</w:t>
            </w:r>
          </w:p>
        </w:tc>
        <w:tc>
          <w:tcPr>
            <w:tcW w:w="2011" w:type="dxa"/>
            <w:vAlign w:val="center"/>
          </w:tcPr>
          <w:p w14:paraId="3A952538" w14:textId="77777777" w:rsidR="00C0220B" w:rsidRPr="000113B8" w:rsidRDefault="00C0220B" w:rsidP="00EC7684">
            <w:pPr>
              <w:jc w:val="center"/>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20.00%</w:t>
            </w:r>
          </w:p>
        </w:tc>
      </w:tr>
      <w:tr w:rsidR="009A7F8F" w:rsidRPr="000113B8" w14:paraId="10B76870" w14:textId="77777777" w:rsidTr="00EC7684">
        <w:trPr>
          <w:trHeight w:val="26"/>
          <w:jc w:val="center"/>
        </w:trPr>
        <w:tc>
          <w:tcPr>
            <w:tcW w:w="908" w:type="dxa"/>
            <w:shd w:val="clear" w:color="auto" w:fill="F2F2F2"/>
            <w:vAlign w:val="center"/>
            <w:hideMark/>
          </w:tcPr>
          <w:p w14:paraId="4C42B416" w14:textId="77777777" w:rsidR="00C0220B" w:rsidRPr="000113B8" w:rsidRDefault="00C0220B" w:rsidP="00EC7684">
            <w:pPr>
              <w:jc w:val="center"/>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2022</w:t>
            </w:r>
          </w:p>
        </w:tc>
        <w:tc>
          <w:tcPr>
            <w:tcW w:w="1517" w:type="dxa"/>
            <w:shd w:val="clear" w:color="auto" w:fill="F2F2F2"/>
            <w:vAlign w:val="center"/>
            <w:hideMark/>
          </w:tcPr>
          <w:p w14:paraId="36039080" w14:textId="77777777" w:rsidR="00C0220B" w:rsidRPr="000113B8" w:rsidRDefault="00C0220B" w:rsidP="00EC7684">
            <w:pPr>
              <w:jc w:val="center"/>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$1.000.000</w:t>
            </w:r>
          </w:p>
        </w:tc>
        <w:tc>
          <w:tcPr>
            <w:tcW w:w="2011" w:type="dxa"/>
            <w:shd w:val="clear" w:color="auto" w:fill="F2F2F2"/>
            <w:vAlign w:val="center"/>
          </w:tcPr>
          <w:p w14:paraId="41CB568A" w14:textId="77777777" w:rsidR="00C0220B" w:rsidRPr="000113B8" w:rsidRDefault="00C0220B" w:rsidP="00EC7684">
            <w:pPr>
              <w:jc w:val="center"/>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10.70%</w:t>
            </w:r>
          </w:p>
        </w:tc>
        <w:tc>
          <w:tcPr>
            <w:tcW w:w="2011" w:type="dxa"/>
            <w:shd w:val="clear" w:color="auto" w:fill="F2F2F2"/>
            <w:vAlign w:val="center"/>
          </w:tcPr>
          <w:p w14:paraId="30C3D662" w14:textId="77777777" w:rsidR="00C0220B" w:rsidRPr="000113B8" w:rsidRDefault="00C0220B" w:rsidP="00EC7684">
            <w:pPr>
              <w:jc w:val="center"/>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$117.172</w:t>
            </w:r>
          </w:p>
        </w:tc>
        <w:tc>
          <w:tcPr>
            <w:tcW w:w="2011" w:type="dxa"/>
            <w:shd w:val="clear" w:color="auto" w:fill="F2F2F2"/>
            <w:vAlign w:val="center"/>
          </w:tcPr>
          <w:p w14:paraId="640436CE" w14:textId="77777777" w:rsidR="00C0220B" w:rsidRPr="000113B8" w:rsidRDefault="00C0220B" w:rsidP="00EC7684">
            <w:pPr>
              <w:jc w:val="center"/>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10.07%</w:t>
            </w:r>
          </w:p>
        </w:tc>
      </w:tr>
      <w:tr w:rsidR="009A7F8F" w:rsidRPr="000113B8" w14:paraId="08873D83" w14:textId="77777777" w:rsidTr="00EC7684">
        <w:trPr>
          <w:trHeight w:val="302"/>
          <w:jc w:val="center"/>
        </w:trPr>
        <w:tc>
          <w:tcPr>
            <w:tcW w:w="908" w:type="dxa"/>
            <w:vAlign w:val="center"/>
            <w:hideMark/>
          </w:tcPr>
          <w:p w14:paraId="672E3DDE" w14:textId="77777777" w:rsidR="00C0220B" w:rsidRPr="000113B8" w:rsidRDefault="00C0220B" w:rsidP="00EC7684">
            <w:pPr>
              <w:jc w:val="center"/>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lastRenderedPageBreak/>
              <w:t>2021</w:t>
            </w:r>
          </w:p>
        </w:tc>
        <w:tc>
          <w:tcPr>
            <w:tcW w:w="1517" w:type="dxa"/>
            <w:vAlign w:val="center"/>
            <w:hideMark/>
          </w:tcPr>
          <w:p w14:paraId="74085BCA" w14:textId="77777777" w:rsidR="00C0220B" w:rsidRPr="000113B8" w:rsidRDefault="00C0220B" w:rsidP="00EC7684">
            <w:pPr>
              <w:jc w:val="center"/>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$908.526</w:t>
            </w:r>
          </w:p>
        </w:tc>
        <w:tc>
          <w:tcPr>
            <w:tcW w:w="2011" w:type="dxa"/>
            <w:vAlign w:val="center"/>
          </w:tcPr>
          <w:p w14:paraId="7FB65508" w14:textId="77777777" w:rsidR="00C0220B" w:rsidRPr="000113B8" w:rsidRDefault="00C0220B" w:rsidP="00EC7684">
            <w:pPr>
              <w:jc w:val="center"/>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3.50%</w:t>
            </w:r>
          </w:p>
        </w:tc>
        <w:tc>
          <w:tcPr>
            <w:tcW w:w="2011" w:type="dxa"/>
            <w:vAlign w:val="center"/>
          </w:tcPr>
          <w:p w14:paraId="10E90F77" w14:textId="77777777" w:rsidR="00C0220B" w:rsidRPr="000113B8" w:rsidRDefault="00C0220B" w:rsidP="00EC7684">
            <w:pPr>
              <w:jc w:val="center"/>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$106.454</w:t>
            </w:r>
          </w:p>
        </w:tc>
        <w:tc>
          <w:tcPr>
            <w:tcW w:w="2011" w:type="dxa"/>
            <w:vAlign w:val="center"/>
          </w:tcPr>
          <w:p w14:paraId="58030FF0" w14:textId="77777777" w:rsidR="00C0220B" w:rsidRPr="000113B8" w:rsidRDefault="00C0220B" w:rsidP="00EC7684">
            <w:pPr>
              <w:jc w:val="center"/>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3.50%</w:t>
            </w:r>
          </w:p>
        </w:tc>
      </w:tr>
      <w:tr w:rsidR="009A7F8F" w:rsidRPr="000113B8" w14:paraId="7FE40F90" w14:textId="77777777" w:rsidTr="00EC7684">
        <w:trPr>
          <w:trHeight w:val="26"/>
          <w:jc w:val="center"/>
        </w:trPr>
        <w:tc>
          <w:tcPr>
            <w:tcW w:w="908" w:type="dxa"/>
            <w:shd w:val="clear" w:color="auto" w:fill="F2F2F2"/>
            <w:vAlign w:val="center"/>
            <w:hideMark/>
          </w:tcPr>
          <w:p w14:paraId="474F7D77" w14:textId="77777777" w:rsidR="00C0220B" w:rsidRPr="000113B8" w:rsidRDefault="00C0220B" w:rsidP="00EC7684">
            <w:pPr>
              <w:jc w:val="center"/>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2020</w:t>
            </w:r>
          </w:p>
        </w:tc>
        <w:tc>
          <w:tcPr>
            <w:tcW w:w="1517" w:type="dxa"/>
            <w:shd w:val="clear" w:color="auto" w:fill="F2F2F2"/>
            <w:vAlign w:val="center"/>
            <w:hideMark/>
          </w:tcPr>
          <w:p w14:paraId="4F8D24E2" w14:textId="77777777" w:rsidR="00C0220B" w:rsidRPr="000113B8" w:rsidRDefault="00C0220B" w:rsidP="00EC7684">
            <w:pPr>
              <w:jc w:val="center"/>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$877.803</w:t>
            </w:r>
          </w:p>
        </w:tc>
        <w:tc>
          <w:tcPr>
            <w:tcW w:w="2011" w:type="dxa"/>
            <w:shd w:val="clear" w:color="auto" w:fill="F2F2F2"/>
            <w:vAlign w:val="center"/>
          </w:tcPr>
          <w:p w14:paraId="74CCC618" w14:textId="77777777" w:rsidR="00C0220B" w:rsidRPr="000113B8" w:rsidRDefault="00C0220B" w:rsidP="00EC7684">
            <w:pPr>
              <w:jc w:val="center"/>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6.00%</w:t>
            </w:r>
          </w:p>
        </w:tc>
        <w:tc>
          <w:tcPr>
            <w:tcW w:w="2011" w:type="dxa"/>
            <w:shd w:val="clear" w:color="auto" w:fill="F2F2F2"/>
            <w:vAlign w:val="center"/>
          </w:tcPr>
          <w:p w14:paraId="6ED8784F" w14:textId="77777777" w:rsidR="00C0220B" w:rsidRPr="000113B8" w:rsidRDefault="00C0220B" w:rsidP="00EC7684">
            <w:pPr>
              <w:jc w:val="center"/>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$102.854</w:t>
            </w:r>
          </w:p>
        </w:tc>
        <w:tc>
          <w:tcPr>
            <w:tcW w:w="2011" w:type="dxa"/>
            <w:shd w:val="clear" w:color="auto" w:fill="F2F2F2"/>
            <w:vAlign w:val="center"/>
          </w:tcPr>
          <w:p w14:paraId="018C56A1" w14:textId="77777777" w:rsidR="00C0220B" w:rsidRPr="000113B8" w:rsidRDefault="00C0220B" w:rsidP="00EC7684">
            <w:pPr>
              <w:jc w:val="center"/>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6.00%</w:t>
            </w:r>
          </w:p>
        </w:tc>
      </w:tr>
      <w:tr w:rsidR="009A7F8F" w:rsidRPr="000113B8" w14:paraId="3E801332" w14:textId="77777777" w:rsidTr="00EC7684">
        <w:trPr>
          <w:trHeight w:val="26"/>
          <w:jc w:val="center"/>
        </w:trPr>
        <w:tc>
          <w:tcPr>
            <w:tcW w:w="908" w:type="dxa"/>
            <w:vAlign w:val="center"/>
            <w:hideMark/>
          </w:tcPr>
          <w:p w14:paraId="6B36068A" w14:textId="77777777" w:rsidR="00C0220B" w:rsidRPr="000113B8" w:rsidRDefault="00C0220B" w:rsidP="00EC7684">
            <w:pPr>
              <w:jc w:val="center"/>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2019</w:t>
            </w:r>
          </w:p>
        </w:tc>
        <w:tc>
          <w:tcPr>
            <w:tcW w:w="1517" w:type="dxa"/>
            <w:vAlign w:val="center"/>
            <w:hideMark/>
          </w:tcPr>
          <w:p w14:paraId="12A5D1D9" w14:textId="77777777" w:rsidR="00C0220B" w:rsidRPr="000113B8" w:rsidRDefault="00C0220B" w:rsidP="00EC7684">
            <w:pPr>
              <w:jc w:val="center"/>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$828.116</w:t>
            </w:r>
          </w:p>
        </w:tc>
        <w:tc>
          <w:tcPr>
            <w:tcW w:w="2011" w:type="dxa"/>
            <w:vAlign w:val="center"/>
          </w:tcPr>
          <w:p w14:paraId="7E703317" w14:textId="77777777" w:rsidR="00C0220B" w:rsidRPr="000113B8" w:rsidRDefault="00C0220B" w:rsidP="00EC7684">
            <w:pPr>
              <w:jc w:val="center"/>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6.00%</w:t>
            </w:r>
          </w:p>
        </w:tc>
        <w:tc>
          <w:tcPr>
            <w:tcW w:w="2011" w:type="dxa"/>
            <w:vAlign w:val="center"/>
          </w:tcPr>
          <w:p w14:paraId="31650194" w14:textId="77777777" w:rsidR="00C0220B" w:rsidRPr="000113B8" w:rsidRDefault="00C0220B" w:rsidP="00EC7684">
            <w:pPr>
              <w:jc w:val="center"/>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$97.032</w:t>
            </w:r>
          </w:p>
        </w:tc>
        <w:tc>
          <w:tcPr>
            <w:tcW w:w="2011" w:type="dxa"/>
            <w:vAlign w:val="center"/>
          </w:tcPr>
          <w:p w14:paraId="0AFA46F0" w14:textId="77777777" w:rsidR="00C0220B" w:rsidRPr="000113B8" w:rsidRDefault="00C0220B" w:rsidP="00EC7684">
            <w:pPr>
              <w:jc w:val="center"/>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10.00%</w:t>
            </w:r>
          </w:p>
        </w:tc>
      </w:tr>
      <w:tr w:rsidR="009A7F8F" w:rsidRPr="000113B8" w14:paraId="09CC8551" w14:textId="77777777" w:rsidTr="00EC7684">
        <w:trPr>
          <w:trHeight w:val="26"/>
          <w:jc w:val="center"/>
        </w:trPr>
        <w:tc>
          <w:tcPr>
            <w:tcW w:w="908" w:type="dxa"/>
            <w:shd w:val="clear" w:color="auto" w:fill="F2F2F2"/>
            <w:vAlign w:val="center"/>
            <w:hideMark/>
          </w:tcPr>
          <w:p w14:paraId="526D2CDF" w14:textId="77777777" w:rsidR="00C0220B" w:rsidRPr="000113B8" w:rsidRDefault="00C0220B" w:rsidP="00EC7684">
            <w:pPr>
              <w:jc w:val="center"/>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2018</w:t>
            </w:r>
          </w:p>
        </w:tc>
        <w:tc>
          <w:tcPr>
            <w:tcW w:w="1517" w:type="dxa"/>
            <w:shd w:val="clear" w:color="auto" w:fill="F2F2F2"/>
            <w:vAlign w:val="center"/>
            <w:hideMark/>
          </w:tcPr>
          <w:p w14:paraId="415F3A55" w14:textId="77777777" w:rsidR="00C0220B" w:rsidRPr="000113B8" w:rsidRDefault="00C0220B" w:rsidP="00EC7684">
            <w:pPr>
              <w:jc w:val="center"/>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$781.242</w:t>
            </w:r>
          </w:p>
        </w:tc>
        <w:tc>
          <w:tcPr>
            <w:tcW w:w="2011" w:type="dxa"/>
            <w:shd w:val="clear" w:color="auto" w:fill="F2F2F2"/>
            <w:vAlign w:val="center"/>
          </w:tcPr>
          <w:p w14:paraId="7D4DA81D" w14:textId="77777777" w:rsidR="00C0220B" w:rsidRPr="000113B8" w:rsidRDefault="00C0220B" w:rsidP="00EC7684">
            <w:pPr>
              <w:jc w:val="center"/>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5.90%</w:t>
            </w:r>
          </w:p>
        </w:tc>
        <w:tc>
          <w:tcPr>
            <w:tcW w:w="2011" w:type="dxa"/>
            <w:shd w:val="clear" w:color="auto" w:fill="F2F2F2"/>
            <w:vAlign w:val="center"/>
          </w:tcPr>
          <w:p w14:paraId="27376D8D" w14:textId="77777777" w:rsidR="00C0220B" w:rsidRPr="000113B8" w:rsidRDefault="00C0220B" w:rsidP="00EC7684">
            <w:pPr>
              <w:jc w:val="center"/>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$88.211</w:t>
            </w:r>
          </w:p>
        </w:tc>
        <w:tc>
          <w:tcPr>
            <w:tcW w:w="2011" w:type="dxa"/>
            <w:shd w:val="clear" w:color="auto" w:fill="F2F2F2"/>
            <w:vAlign w:val="center"/>
          </w:tcPr>
          <w:p w14:paraId="14728E5F" w14:textId="77777777" w:rsidR="00C0220B" w:rsidRPr="000113B8" w:rsidRDefault="00C0220B" w:rsidP="00EC7684">
            <w:pPr>
              <w:jc w:val="center"/>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6.09%</w:t>
            </w:r>
          </w:p>
        </w:tc>
      </w:tr>
      <w:tr w:rsidR="009A7F8F" w:rsidRPr="000113B8" w14:paraId="3265AC4E" w14:textId="77777777" w:rsidTr="00EC7684">
        <w:trPr>
          <w:trHeight w:val="26"/>
          <w:jc w:val="center"/>
        </w:trPr>
        <w:tc>
          <w:tcPr>
            <w:tcW w:w="908" w:type="dxa"/>
            <w:vAlign w:val="center"/>
          </w:tcPr>
          <w:p w14:paraId="06232DC0" w14:textId="77777777" w:rsidR="00C0220B" w:rsidRPr="000113B8" w:rsidRDefault="00C0220B" w:rsidP="00EC7684">
            <w:pPr>
              <w:jc w:val="center"/>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2017</w:t>
            </w:r>
          </w:p>
        </w:tc>
        <w:tc>
          <w:tcPr>
            <w:tcW w:w="1517" w:type="dxa"/>
            <w:vAlign w:val="center"/>
          </w:tcPr>
          <w:p w14:paraId="0E9ED081" w14:textId="77777777" w:rsidR="00C0220B" w:rsidRPr="000113B8" w:rsidRDefault="00C0220B" w:rsidP="00EC7684">
            <w:pPr>
              <w:jc w:val="center"/>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$737.717</w:t>
            </w:r>
          </w:p>
        </w:tc>
        <w:tc>
          <w:tcPr>
            <w:tcW w:w="2011" w:type="dxa"/>
            <w:vAlign w:val="center"/>
          </w:tcPr>
          <w:p w14:paraId="7DB1AFB7" w14:textId="77777777" w:rsidR="00C0220B" w:rsidRPr="000113B8" w:rsidRDefault="00C0220B" w:rsidP="00EC7684">
            <w:pPr>
              <w:jc w:val="center"/>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7.00%</w:t>
            </w:r>
          </w:p>
        </w:tc>
        <w:tc>
          <w:tcPr>
            <w:tcW w:w="2011" w:type="dxa"/>
            <w:vAlign w:val="center"/>
          </w:tcPr>
          <w:p w14:paraId="24AEEAEE" w14:textId="77777777" w:rsidR="00C0220B" w:rsidRPr="000113B8" w:rsidRDefault="00C0220B" w:rsidP="00EC7684">
            <w:pPr>
              <w:jc w:val="center"/>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$83.140</w:t>
            </w:r>
          </w:p>
        </w:tc>
        <w:tc>
          <w:tcPr>
            <w:tcW w:w="2011" w:type="dxa"/>
            <w:vAlign w:val="center"/>
          </w:tcPr>
          <w:p w14:paraId="65777238" w14:textId="77777777" w:rsidR="00C0220B" w:rsidRPr="000113B8" w:rsidRDefault="00C0220B" w:rsidP="00EC7684">
            <w:pPr>
              <w:jc w:val="center"/>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5.00%</w:t>
            </w:r>
          </w:p>
        </w:tc>
      </w:tr>
      <w:tr w:rsidR="009A7F8F" w:rsidRPr="000113B8" w14:paraId="157DFB9D" w14:textId="77777777" w:rsidTr="00EC7684">
        <w:trPr>
          <w:trHeight w:val="26"/>
          <w:jc w:val="center"/>
        </w:trPr>
        <w:tc>
          <w:tcPr>
            <w:tcW w:w="908" w:type="dxa"/>
            <w:shd w:val="clear" w:color="auto" w:fill="F2F2F2"/>
            <w:vAlign w:val="center"/>
          </w:tcPr>
          <w:p w14:paraId="018FFDA3" w14:textId="77777777" w:rsidR="00C0220B" w:rsidRPr="000113B8" w:rsidRDefault="00C0220B" w:rsidP="00EC7684">
            <w:pPr>
              <w:jc w:val="center"/>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2016</w:t>
            </w:r>
          </w:p>
        </w:tc>
        <w:tc>
          <w:tcPr>
            <w:tcW w:w="1517" w:type="dxa"/>
            <w:shd w:val="clear" w:color="auto" w:fill="F2F2F2"/>
            <w:vAlign w:val="center"/>
          </w:tcPr>
          <w:p w14:paraId="0C020CC4" w14:textId="77777777" w:rsidR="00C0220B" w:rsidRPr="000113B8" w:rsidRDefault="00C0220B" w:rsidP="00EC7684">
            <w:pPr>
              <w:jc w:val="center"/>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$689.455</w:t>
            </w:r>
          </w:p>
        </w:tc>
        <w:tc>
          <w:tcPr>
            <w:tcW w:w="2011" w:type="dxa"/>
            <w:shd w:val="clear" w:color="auto" w:fill="F2F2F2"/>
            <w:vAlign w:val="center"/>
          </w:tcPr>
          <w:p w14:paraId="45B077AC" w14:textId="77777777" w:rsidR="00C0220B" w:rsidRPr="000113B8" w:rsidRDefault="00C0220B" w:rsidP="00EC7684">
            <w:pPr>
              <w:jc w:val="center"/>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7.00%</w:t>
            </w:r>
          </w:p>
        </w:tc>
        <w:tc>
          <w:tcPr>
            <w:tcW w:w="2011" w:type="dxa"/>
            <w:shd w:val="clear" w:color="auto" w:fill="F2F2F2"/>
            <w:vAlign w:val="center"/>
          </w:tcPr>
          <w:p w14:paraId="1DEBD6DE" w14:textId="77777777" w:rsidR="00C0220B" w:rsidRPr="000113B8" w:rsidRDefault="00C0220B" w:rsidP="00EC7684">
            <w:pPr>
              <w:jc w:val="center"/>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$77.700</w:t>
            </w:r>
          </w:p>
        </w:tc>
        <w:tc>
          <w:tcPr>
            <w:tcW w:w="2011" w:type="dxa"/>
            <w:shd w:val="clear" w:color="auto" w:fill="F2F2F2"/>
            <w:vAlign w:val="center"/>
          </w:tcPr>
          <w:p w14:paraId="7B9EC87A" w14:textId="77777777" w:rsidR="00C0220B" w:rsidRPr="000113B8" w:rsidRDefault="00C0220B" w:rsidP="00EC7684">
            <w:pPr>
              <w:jc w:val="center"/>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5.00%</w:t>
            </w:r>
          </w:p>
        </w:tc>
      </w:tr>
      <w:tr w:rsidR="009A7F8F" w:rsidRPr="000113B8" w14:paraId="4A020968" w14:textId="77777777" w:rsidTr="00EC7684">
        <w:trPr>
          <w:trHeight w:val="26"/>
          <w:jc w:val="center"/>
        </w:trPr>
        <w:tc>
          <w:tcPr>
            <w:tcW w:w="908" w:type="dxa"/>
            <w:vAlign w:val="center"/>
          </w:tcPr>
          <w:p w14:paraId="1D2A834A" w14:textId="77777777" w:rsidR="00C0220B" w:rsidRPr="000113B8" w:rsidRDefault="00C0220B" w:rsidP="00EC7684">
            <w:pPr>
              <w:jc w:val="center"/>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2015</w:t>
            </w:r>
          </w:p>
        </w:tc>
        <w:tc>
          <w:tcPr>
            <w:tcW w:w="1517" w:type="dxa"/>
            <w:vAlign w:val="center"/>
          </w:tcPr>
          <w:p w14:paraId="02FB6BC7" w14:textId="77777777" w:rsidR="00C0220B" w:rsidRPr="000113B8" w:rsidRDefault="00C0220B" w:rsidP="00EC7684">
            <w:pPr>
              <w:jc w:val="center"/>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$644.500</w:t>
            </w:r>
          </w:p>
        </w:tc>
        <w:tc>
          <w:tcPr>
            <w:tcW w:w="2011" w:type="dxa"/>
            <w:vAlign w:val="center"/>
          </w:tcPr>
          <w:p w14:paraId="0262661F" w14:textId="77777777" w:rsidR="00C0220B" w:rsidRPr="000113B8" w:rsidRDefault="00C0220B" w:rsidP="00EC7684">
            <w:pPr>
              <w:jc w:val="center"/>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4.60%</w:t>
            </w:r>
          </w:p>
        </w:tc>
        <w:tc>
          <w:tcPr>
            <w:tcW w:w="2011" w:type="dxa"/>
            <w:vAlign w:val="center"/>
          </w:tcPr>
          <w:p w14:paraId="13F468EA" w14:textId="77777777" w:rsidR="00C0220B" w:rsidRPr="000113B8" w:rsidRDefault="00C0220B" w:rsidP="00EC7684">
            <w:pPr>
              <w:jc w:val="center"/>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$74.000</w:t>
            </w:r>
          </w:p>
        </w:tc>
        <w:tc>
          <w:tcPr>
            <w:tcW w:w="2011" w:type="dxa"/>
            <w:vAlign w:val="center"/>
          </w:tcPr>
          <w:p w14:paraId="2269A595" w14:textId="77777777" w:rsidR="00C0220B" w:rsidRPr="000113B8" w:rsidRDefault="00C0220B" w:rsidP="00EC7684">
            <w:pPr>
              <w:jc w:val="center"/>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2.77%</w:t>
            </w:r>
          </w:p>
        </w:tc>
      </w:tr>
    </w:tbl>
    <w:p w14:paraId="4B2FBEF6" w14:textId="77777777" w:rsidR="00C0220B" w:rsidRPr="000113B8" w:rsidRDefault="00C0220B" w:rsidP="00C0220B">
      <w:pPr>
        <w:pStyle w:val="Prrafodelista"/>
        <w:ind w:right="57"/>
        <w:jc w:val="center"/>
        <w:rPr>
          <w:rFonts w:ascii="Garamond" w:eastAsia="Batang" w:hAnsi="Garamond" w:cs="Arial"/>
          <w:bCs/>
          <w:color w:val="000000" w:themeColor="text1"/>
        </w:rPr>
      </w:pPr>
      <w:r w:rsidRPr="000113B8">
        <w:rPr>
          <w:rFonts w:ascii="Garamond" w:eastAsia="Batang" w:hAnsi="Garamond" w:cs="Arial"/>
          <w:bCs/>
          <w:color w:val="000000" w:themeColor="text1"/>
        </w:rPr>
        <w:t>Fuente: Elaboración intermediario de seguros de la entidad JARGU S.A. CORREDORES DE SEGUROS</w:t>
      </w:r>
    </w:p>
    <w:p w14:paraId="5DD56F53" w14:textId="77777777" w:rsidR="00400613" w:rsidRPr="000113B8" w:rsidRDefault="00400613" w:rsidP="00C0220B">
      <w:pPr>
        <w:pStyle w:val="Prrafodelista"/>
        <w:ind w:right="57"/>
        <w:jc w:val="center"/>
        <w:rPr>
          <w:rFonts w:ascii="Garamond" w:eastAsia="Batang" w:hAnsi="Garamond" w:cs="Arial"/>
          <w:bCs/>
          <w:color w:val="000000" w:themeColor="text1"/>
        </w:rPr>
      </w:pPr>
    </w:p>
    <w:p w14:paraId="01BDB797" w14:textId="77777777" w:rsidR="00C0220B" w:rsidRPr="000113B8" w:rsidRDefault="00C0220B" w:rsidP="00C0220B">
      <w:pPr>
        <w:jc w:val="both"/>
        <w:rPr>
          <w:rFonts w:ascii="Garamond" w:hAnsi="Garamond"/>
          <w:color w:val="000000" w:themeColor="text1"/>
        </w:rPr>
      </w:pPr>
      <w:r w:rsidRPr="000113B8">
        <w:rPr>
          <w:rFonts w:ascii="Garamond" w:hAnsi="Garamond"/>
          <w:color w:val="000000" w:themeColor="text1"/>
        </w:rPr>
        <w:t>De conformidad con lo establecido en Decreto 0159 del 19 de febrero de 2026 expedido por el Ministerio de Trabajo, se fijó transitoriamente el salario mínimo legal para el año 2026 en Colombia en UN MILLÓN SETECIENTOS CINCUENTA MIL NOVECIENTOS CINCO ($1.750.905) pesos mensuales a partir del 1 de enero de 2026, lo que representa un aumento del 23,7% comparado con el año anterior.</w:t>
      </w:r>
    </w:p>
    <w:p w14:paraId="6638D5A0" w14:textId="77777777" w:rsidR="00C0220B" w:rsidRPr="000113B8" w:rsidRDefault="00C0220B" w:rsidP="00C0220B">
      <w:pPr>
        <w:jc w:val="both"/>
        <w:rPr>
          <w:rFonts w:ascii="Garamond" w:hAnsi="Garamond"/>
          <w:color w:val="000000" w:themeColor="text1"/>
        </w:rPr>
      </w:pPr>
    </w:p>
    <w:p w14:paraId="2D6836B1" w14:textId="77777777" w:rsidR="00C0220B" w:rsidRPr="000113B8" w:rsidRDefault="00C0220B" w:rsidP="00C0220B">
      <w:pPr>
        <w:jc w:val="both"/>
        <w:rPr>
          <w:rFonts w:ascii="Garamond" w:hAnsi="Garamond"/>
          <w:color w:val="000000" w:themeColor="text1"/>
        </w:rPr>
      </w:pPr>
      <w:r w:rsidRPr="000113B8">
        <w:rPr>
          <w:rFonts w:ascii="Garamond" w:hAnsi="Garamond"/>
          <w:color w:val="000000" w:themeColor="text1"/>
        </w:rPr>
        <w:t>Por su parte, de conformidad con lo establecido en el Decreto 1470 del 29 de diciembre de 2025 expedido por el Ministerio de Trabajo, el auxilio de transporte para el año 2026 será de DOSCIENTOS CUARENTA Y NUEVE MIL NOVENTA Y CINCO PESOS ($249.095) pesos mensuales, recordándose que sólo tienen derecho al auxilio de transporte quienes devenguen hasta dos salarios mínimos legales mensuales.</w:t>
      </w:r>
    </w:p>
    <w:p w14:paraId="1206ED6F" w14:textId="77777777" w:rsidR="00C0220B" w:rsidRPr="000113B8" w:rsidRDefault="00C0220B" w:rsidP="00C0220B">
      <w:pPr>
        <w:jc w:val="both"/>
        <w:rPr>
          <w:rFonts w:ascii="Garamond" w:hAnsi="Garamond"/>
          <w:color w:val="000000" w:themeColor="text1"/>
        </w:rPr>
      </w:pPr>
    </w:p>
    <w:p w14:paraId="2ECF7997" w14:textId="77777777" w:rsidR="00C0220B" w:rsidRPr="000113B8" w:rsidRDefault="00C0220B" w:rsidP="00C0220B">
      <w:pPr>
        <w:jc w:val="both"/>
        <w:rPr>
          <w:rFonts w:ascii="Garamond" w:hAnsi="Garamond"/>
          <w:color w:val="000000" w:themeColor="text1"/>
        </w:rPr>
      </w:pPr>
      <w:r w:rsidRPr="000113B8">
        <w:rPr>
          <w:rFonts w:ascii="Garamond" w:hAnsi="Garamond"/>
          <w:color w:val="000000" w:themeColor="text1"/>
        </w:rPr>
        <w:t>Como es de suponerse el salario mínimo al igual que el Índice de Precios al Consumidor crecen anualmente en cualquier economía que se considere competitiva, por lo cual influye directamente en los seguros en Colombia, aumentando el costo de pólizas indexadas como el SOAT, seguros de vida o accidentes personales, generando el incremento de los costos administrativos al interior de las compañías de seguros y generando un "efecto dominó" que incrementa tarifas finales para los tomadores de seguros, especialmente en seguros obligatorios y de componente laboral.</w:t>
      </w:r>
    </w:p>
    <w:p w14:paraId="68786D85" w14:textId="77777777" w:rsidR="00C0220B" w:rsidRPr="000113B8" w:rsidRDefault="00C0220B" w:rsidP="00C0220B">
      <w:pPr>
        <w:jc w:val="both"/>
        <w:rPr>
          <w:rFonts w:ascii="Garamond" w:hAnsi="Garamond"/>
          <w:color w:val="000000" w:themeColor="text1"/>
        </w:rPr>
      </w:pPr>
    </w:p>
    <w:p w14:paraId="6F0E7515" w14:textId="77777777" w:rsidR="00C0220B" w:rsidRPr="000113B8" w:rsidRDefault="00C0220B" w:rsidP="00C54B99">
      <w:pPr>
        <w:pStyle w:val="Prrafodelista"/>
        <w:widowControl/>
        <w:numPr>
          <w:ilvl w:val="0"/>
          <w:numId w:val="7"/>
        </w:numPr>
        <w:autoSpaceDE/>
        <w:autoSpaceDN/>
        <w:spacing w:before="0" w:after="200"/>
        <w:contextualSpacing/>
        <w:jc w:val="both"/>
        <w:rPr>
          <w:rFonts w:ascii="Garamond" w:eastAsia="Batang" w:hAnsi="Garamond" w:cs="Arial"/>
          <w:b/>
          <w:color w:val="000000" w:themeColor="text1"/>
          <w:lang w:val="es-ES_tradnl"/>
        </w:rPr>
      </w:pPr>
      <w:r w:rsidRPr="000113B8">
        <w:rPr>
          <w:rFonts w:ascii="Garamond" w:eastAsia="Batang" w:hAnsi="Garamond" w:cs="Arial"/>
          <w:b/>
          <w:color w:val="000000" w:themeColor="text1"/>
          <w:lang w:val="es-ES_tradnl"/>
        </w:rPr>
        <w:t>Tasa Representativa del Mercado (TRM - Peso por dólar)</w:t>
      </w:r>
      <w:r w:rsidRPr="000113B8">
        <w:rPr>
          <w:rFonts w:ascii="Garamond" w:hAnsi="Garamond"/>
          <w:color w:val="000000" w:themeColor="text1"/>
          <w:vertAlign w:val="superscript"/>
          <w:lang w:val="es-ES_tradnl"/>
        </w:rPr>
        <w:footnoteReference w:id="5"/>
      </w:r>
    </w:p>
    <w:p w14:paraId="18AEAACE" w14:textId="77777777" w:rsidR="00C0220B" w:rsidRPr="000113B8" w:rsidRDefault="00C0220B" w:rsidP="00C0220B">
      <w:pPr>
        <w:jc w:val="both"/>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La tasa de cambio representativa del mercado (TRM) es la cantidad de pesos colombianos por un dólar de los Estados Unidos. La TRM se calcula con base en las operaciones de compra y venta de divisas entre intermediarios financieros que transan en el mercado cambiario colombiano, con cumplimiento el mismo día cuando se realiza la negociación de las divisas.</w:t>
      </w:r>
    </w:p>
    <w:p w14:paraId="7FDB6431" w14:textId="77777777" w:rsidR="00C0220B" w:rsidRPr="000113B8" w:rsidRDefault="00C0220B" w:rsidP="00C0220B">
      <w:pPr>
        <w:jc w:val="both"/>
        <w:rPr>
          <w:rFonts w:ascii="Garamond" w:eastAsia="Batang" w:hAnsi="Garamond" w:cs="Arial"/>
          <w:color w:val="000000" w:themeColor="text1"/>
          <w:lang w:val="es-ES_tradnl"/>
        </w:rPr>
      </w:pPr>
    </w:p>
    <w:p w14:paraId="1E9FB752" w14:textId="77777777" w:rsidR="00C0220B" w:rsidRPr="000113B8" w:rsidRDefault="00C0220B" w:rsidP="00C0220B">
      <w:pPr>
        <w:jc w:val="both"/>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 xml:space="preserve">Igual que el precio de cualquier producto, la tasa de cambio sube o baja dependiendo de la oferta y la demanda. Cuando la oferta es mayor que la demanda, es decir, hay abundancia de dólares en el mercado y pocos compradores, la tasa de cambio baja; y cuando hay menos oferta que demanda (hay escasez de dólares y muchos compradores), la tasa de cambio sube”. </w:t>
      </w:r>
    </w:p>
    <w:p w14:paraId="704880A7" w14:textId="77777777" w:rsidR="00C0220B" w:rsidRPr="000113B8" w:rsidRDefault="00C0220B" w:rsidP="00C0220B">
      <w:pPr>
        <w:jc w:val="both"/>
        <w:rPr>
          <w:rFonts w:ascii="Garamond" w:eastAsia="Batang" w:hAnsi="Garamond" w:cs="Arial"/>
          <w:color w:val="000000" w:themeColor="text1"/>
          <w:lang w:val="es-ES_tradnl"/>
        </w:rPr>
      </w:pPr>
    </w:p>
    <w:p w14:paraId="287C8BE4" w14:textId="77777777" w:rsidR="00C0220B" w:rsidRPr="000113B8" w:rsidRDefault="00C0220B" w:rsidP="00C0220B">
      <w:pPr>
        <w:jc w:val="both"/>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Colombia actualmente tiene adoptado el régimen de tasa de cambio flexible, es decir que la misma fluctúa según la oferta y la demanda de divisas en el mercado.</w:t>
      </w:r>
    </w:p>
    <w:p w14:paraId="4D0F822B" w14:textId="77777777" w:rsidR="00C0220B" w:rsidRPr="000113B8" w:rsidRDefault="00C0220B" w:rsidP="00C0220B">
      <w:pPr>
        <w:jc w:val="both"/>
        <w:rPr>
          <w:rFonts w:ascii="Garamond" w:eastAsia="Batang" w:hAnsi="Garamond" w:cs="Arial"/>
          <w:color w:val="000000" w:themeColor="text1"/>
          <w:lang w:val="es-ES_tradnl"/>
        </w:rPr>
      </w:pPr>
    </w:p>
    <w:p w14:paraId="67018B61" w14:textId="77777777" w:rsidR="00C0220B" w:rsidRPr="000113B8" w:rsidRDefault="00C0220B" w:rsidP="00C0220B">
      <w:pPr>
        <w:jc w:val="both"/>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 xml:space="preserve">La Superintendencia Financiera de Colombia tiene la obligación de calcular y certificar la TRM y divulgar al mercado y al público en general, conforme a lo dispuesto en el artículo 40 de la Resolución Externa No. 1 de 2018, expedida por la Junta Directiva del Banco de la República. </w:t>
      </w:r>
    </w:p>
    <w:p w14:paraId="414CE753" w14:textId="77777777" w:rsidR="00C0220B" w:rsidRPr="000113B8" w:rsidRDefault="00C0220B" w:rsidP="00C0220B">
      <w:pPr>
        <w:jc w:val="both"/>
        <w:rPr>
          <w:rFonts w:ascii="Garamond" w:eastAsia="Batang" w:hAnsi="Garamond" w:cs="Arial"/>
          <w:color w:val="000000" w:themeColor="text1"/>
          <w:lang w:val="es-ES_tradnl"/>
        </w:rPr>
      </w:pPr>
    </w:p>
    <w:p w14:paraId="3E5321E3" w14:textId="77777777" w:rsidR="00C0220B" w:rsidRPr="000113B8" w:rsidRDefault="00C0220B" w:rsidP="00C0220B">
      <w:pPr>
        <w:jc w:val="both"/>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La metodología utilizada por el Banco de la República para el cálculo de la TRM se encuentra establecida en la Circular Reglamentaria DODM – 146 de 2015, en cumplimiento de los mandatos constitucionales y legales establecidos para tal fin.</w:t>
      </w:r>
    </w:p>
    <w:p w14:paraId="1647C6ED" w14:textId="77777777" w:rsidR="00C0220B" w:rsidRPr="000113B8" w:rsidRDefault="00C0220B" w:rsidP="00C0220B">
      <w:pPr>
        <w:jc w:val="both"/>
        <w:rPr>
          <w:rFonts w:ascii="Garamond" w:eastAsia="Batang" w:hAnsi="Garamond" w:cs="Arial"/>
          <w:color w:val="000000" w:themeColor="text1"/>
          <w:lang w:val="es-ES_tradnl"/>
        </w:rPr>
      </w:pPr>
    </w:p>
    <w:p w14:paraId="5AA7342F" w14:textId="77777777" w:rsidR="00C0220B" w:rsidRPr="000113B8" w:rsidRDefault="00C0220B" w:rsidP="00C0220B">
      <w:pPr>
        <w:jc w:val="both"/>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lastRenderedPageBreak/>
        <w:t>La tasa de cambio representativa del mercado (TRM) es la cantidad de pesos colombianos por un dólar de los Estados Unidos de América. Este indicador se calcula con base en las operaciones de compra y venta de divisas entre intermediarios financieros que transan en el mercado cambiario colombiano, con cumplimiento el mismo día cuando se realiza la negociación de las divisas.</w:t>
      </w:r>
    </w:p>
    <w:p w14:paraId="5B89D0DB" w14:textId="77777777" w:rsidR="00C0220B" w:rsidRPr="000113B8" w:rsidRDefault="00C0220B" w:rsidP="00C0220B">
      <w:pPr>
        <w:jc w:val="both"/>
        <w:rPr>
          <w:rFonts w:ascii="Garamond" w:eastAsia="Batang" w:hAnsi="Garamond" w:cs="Arial"/>
          <w:color w:val="000000" w:themeColor="text1"/>
          <w:lang w:val="es-ES_tradnl"/>
        </w:rPr>
      </w:pPr>
    </w:p>
    <w:p w14:paraId="511E3CF8" w14:textId="77777777" w:rsidR="00C0220B" w:rsidRPr="000113B8" w:rsidRDefault="00C0220B" w:rsidP="00C0220B">
      <w:pPr>
        <w:jc w:val="both"/>
        <w:rPr>
          <w:rFonts w:ascii="Garamond" w:eastAsia="Batang" w:hAnsi="Garamond" w:cs="Arial"/>
          <w:color w:val="000000" w:themeColor="text1"/>
          <w:lang w:val="es-ES_tradnl"/>
        </w:rPr>
      </w:pPr>
      <w:r w:rsidRPr="000113B8">
        <w:rPr>
          <w:rFonts w:ascii="Garamond" w:eastAsia="Batang" w:hAnsi="Garamond" w:cs="Arial"/>
          <w:color w:val="000000" w:themeColor="text1"/>
          <w:lang w:val="es-ES_tradnl"/>
        </w:rPr>
        <w:t>La siguiente es la representación gráfica sobre el comportamiento que la TRM ha registrado en el último semestre.</w:t>
      </w:r>
    </w:p>
    <w:p w14:paraId="1015E704" w14:textId="77777777" w:rsidR="00C0220B" w:rsidRPr="000113B8" w:rsidRDefault="00C0220B" w:rsidP="00C0220B">
      <w:pPr>
        <w:jc w:val="center"/>
        <w:rPr>
          <w:rFonts w:ascii="Garamond" w:eastAsia="Batang" w:hAnsi="Garamond" w:cs="Arial"/>
          <w:b/>
          <w:bCs/>
          <w:color w:val="000000" w:themeColor="text1"/>
        </w:rPr>
      </w:pPr>
    </w:p>
    <w:p w14:paraId="334C2DAA" w14:textId="4E9EDD31" w:rsidR="00C0220B" w:rsidRPr="000113B8" w:rsidRDefault="00646491" w:rsidP="00C0220B">
      <w:pPr>
        <w:jc w:val="center"/>
        <w:rPr>
          <w:rFonts w:ascii="Garamond" w:eastAsia="Batang" w:hAnsi="Garamond" w:cs="Arial"/>
          <w:b/>
          <w:noProof/>
          <w:color w:val="000000" w:themeColor="text1"/>
        </w:rPr>
      </w:pPr>
      <w:r w:rsidRPr="000113B8">
        <w:rPr>
          <w:rFonts w:ascii="Garamond" w:eastAsia="Batang" w:hAnsi="Garamond" w:cs="Arial"/>
          <w:b/>
          <w:noProof/>
          <w:color w:val="000000" w:themeColor="text1"/>
        </w:rPr>
        <w:drawing>
          <wp:inline distT="0" distB="0" distL="0" distR="0" wp14:anchorId="3F988967" wp14:editId="4C0088AD">
            <wp:extent cx="5943600" cy="2842895"/>
            <wp:effectExtent l="38100" t="38100" r="38100" b="33655"/>
            <wp:docPr id="3840070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00703" name=""/>
                    <pic:cNvPicPr/>
                  </pic:nvPicPr>
                  <pic:blipFill>
                    <a:blip r:embed="rId17"/>
                    <a:stretch>
                      <a:fillRect/>
                    </a:stretch>
                  </pic:blipFill>
                  <pic:spPr>
                    <a:xfrm>
                      <a:off x="0" y="0"/>
                      <a:ext cx="5943600" cy="2842895"/>
                    </a:xfrm>
                    <a:prstGeom prst="rect">
                      <a:avLst/>
                    </a:prstGeom>
                    <a:ln w="38100">
                      <a:solidFill>
                        <a:schemeClr val="tx1"/>
                      </a:solidFill>
                    </a:ln>
                  </pic:spPr>
                </pic:pic>
              </a:graphicData>
            </a:graphic>
          </wp:inline>
        </w:drawing>
      </w:r>
    </w:p>
    <w:p w14:paraId="0C80A8DB" w14:textId="77777777" w:rsidR="00C0220B" w:rsidRPr="000113B8" w:rsidRDefault="00C0220B" w:rsidP="00C0220B">
      <w:pPr>
        <w:jc w:val="center"/>
        <w:rPr>
          <w:rFonts w:ascii="Garamond" w:hAnsi="Garamond" w:cs="Arial"/>
          <w:bCs/>
          <w:color w:val="000000" w:themeColor="text1"/>
        </w:rPr>
      </w:pPr>
      <w:r w:rsidRPr="000113B8">
        <w:rPr>
          <w:rFonts w:ascii="Garamond" w:hAnsi="Garamond" w:cs="Arial"/>
          <w:bCs/>
          <w:color w:val="000000" w:themeColor="text1"/>
        </w:rPr>
        <w:t xml:space="preserve">Fuente: Banco de la República </w:t>
      </w:r>
      <w:hyperlink r:id="rId18" w:anchor="/grafica/1" w:history="1">
        <w:r w:rsidRPr="000113B8">
          <w:rPr>
            <w:rStyle w:val="Hipervnculo"/>
            <w:rFonts w:ascii="Garamond" w:hAnsi="Garamond" w:cs="Arial"/>
            <w:color w:val="000000" w:themeColor="text1"/>
          </w:rPr>
          <w:t>https://suameca.banrep.gov.co/graficador-series/#/grafica/1</w:t>
        </w:r>
      </w:hyperlink>
    </w:p>
    <w:p w14:paraId="3EDA81B8" w14:textId="77777777" w:rsidR="00C0220B" w:rsidRPr="000113B8" w:rsidRDefault="00C0220B" w:rsidP="00C0220B">
      <w:pPr>
        <w:rPr>
          <w:rFonts w:ascii="Garamond" w:hAnsi="Garamond"/>
          <w:b/>
          <w:color w:val="000000" w:themeColor="text1"/>
        </w:rPr>
      </w:pPr>
    </w:p>
    <w:p w14:paraId="5FAF5778" w14:textId="585C0D67" w:rsidR="00C0220B" w:rsidRPr="000113B8" w:rsidRDefault="004424CE" w:rsidP="00C54B99">
      <w:pPr>
        <w:pStyle w:val="Prrafodelista"/>
        <w:widowControl/>
        <w:numPr>
          <w:ilvl w:val="1"/>
          <w:numId w:val="2"/>
        </w:numPr>
        <w:autoSpaceDE/>
        <w:autoSpaceDN/>
        <w:spacing w:after="200"/>
        <w:contextualSpacing/>
        <w:jc w:val="both"/>
        <w:rPr>
          <w:rFonts w:ascii="Garamond" w:hAnsi="Garamond"/>
          <w:b/>
          <w:color w:val="000000" w:themeColor="text1"/>
        </w:rPr>
      </w:pPr>
      <w:r w:rsidRPr="000113B8">
        <w:rPr>
          <w:rFonts w:ascii="Garamond" w:hAnsi="Garamond"/>
          <w:b/>
          <w:color w:val="000000" w:themeColor="text1"/>
        </w:rPr>
        <w:t>COMPORTAMIENTO DEL SECTOR ASEGURADOR</w:t>
      </w:r>
    </w:p>
    <w:p w14:paraId="64BB7873" w14:textId="77777777" w:rsidR="00C0220B" w:rsidRPr="000113B8" w:rsidRDefault="00C0220B" w:rsidP="00C0220B">
      <w:pPr>
        <w:jc w:val="both"/>
        <w:rPr>
          <w:rFonts w:ascii="Garamond" w:hAnsi="Garamond"/>
          <w:color w:val="000000" w:themeColor="text1"/>
        </w:rPr>
      </w:pPr>
      <w:r w:rsidRPr="000113B8">
        <w:rPr>
          <w:rFonts w:ascii="Garamond" w:hAnsi="Garamond"/>
          <w:color w:val="000000" w:themeColor="text1"/>
        </w:rPr>
        <w:t>Dentro de la actividad que desarrolla el sector asegurador se involucran varios aspectos sobre los cuales vale la pena analizar su comportamiento en la medida que transcurre el tiempo en un período determinado. Por lo tanto, a continuación, se presentan datos estadísticos y gráficos que reflejan cómo se ha desarrollado la actividad derivada del contrato de seguros en Colombia.</w:t>
      </w:r>
    </w:p>
    <w:p w14:paraId="0708B629" w14:textId="77777777" w:rsidR="00C0220B" w:rsidRPr="000113B8" w:rsidRDefault="00C0220B" w:rsidP="00C0220B">
      <w:pPr>
        <w:jc w:val="both"/>
        <w:rPr>
          <w:rFonts w:ascii="Garamond" w:hAnsi="Garamond"/>
          <w:color w:val="000000" w:themeColor="text1"/>
        </w:rPr>
      </w:pPr>
    </w:p>
    <w:p w14:paraId="74410953" w14:textId="77777777" w:rsidR="00C0220B" w:rsidRPr="000113B8" w:rsidRDefault="00C0220B" w:rsidP="00C0220B">
      <w:pPr>
        <w:jc w:val="both"/>
        <w:rPr>
          <w:rFonts w:ascii="Garamond" w:hAnsi="Garamond"/>
          <w:color w:val="000000" w:themeColor="text1"/>
        </w:rPr>
      </w:pPr>
      <w:r w:rsidRPr="000113B8">
        <w:rPr>
          <w:rFonts w:ascii="Garamond" w:hAnsi="Garamond"/>
          <w:color w:val="000000" w:themeColor="text1"/>
        </w:rPr>
        <w:t>Estas cifras ofrecen un panorama general en cuanto a la siniestralidad, primas emitidas y otros aspectos, con lo cual podemos hacernos una idea de las condiciones bajo las cuales se puede adelantar un proceso de contratación en materia de seguros.</w:t>
      </w:r>
    </w:p>
    <w:p w14:paraId="7E0FAB76" w14:textId="77777777" w:rsidR="00C0220B" w:rsidRPr="000113B8" w:rsidRDefault="00C0220B" w:rsidP="00C0220B">
      <w:pPr>
        <w:jc w:val="both"/>
        <w:rPr>
          <w:rFonts w:ascii="Garamond" w:hAnsi="Garamond"/>
          <w:color w:val="000000" w:themeColor="text1"/>
        </w:rPr>
      </w:pPr>
    </w:p>
    <w:p w14:paraId="3A31C6E1" w14:textId="77777777" w:rsidR="00C0220B" w:rsidRPr="000113B8" w:rsidRDefault="00C0220B" w:rsidP="00C0220B">
      <w:pPr>
        <w:jc w:val="both"/>
        <w:rPr>
          <w:rFonts w:ascii="Garamond" w:hAnsi="Garamond"/>
          <w:color w:val="000000" w:themeColor="text1"/>
        </w:rPr>
      </w:pPr>
      <w:r w:rsidRPr="000113B8">
        <w:rPr>
          <w:rFonts w:ascii="Garamond" w:hAnsi="Garamond"/>
          <w:color w:val="000000" w:themeColor="text1"/>
        </w:rPr>
        <w:t xml:space="preserve">A continuación, se presentan gráficos que reflejan cómo se está comportando el mercado de seguros en Colombia, de acuerdo con el informe ejecutivo que presenta el director de estadística de </w:t>
      </w:r>
      <w:proofErr w:type="spellStart"/>
      <w:r w:rsidRPr="000113B8">
        <w:rPr>
          <w:rFonts w:ascii="Garamond" w:hAnsi="Garamond"/>
          <w:color w:val="000000" w:themeColor="text1"/>
        </w:rPr>
        <w:t>Fasecolda</w:t>
      </w:r>
      <w:proofErr w:type="spellEnd"/>
      <w:r w:rsidRPr="000113B8">
        <w:rPr>
          <w:rFonts w:ascii="Garamond" w:hAnsi="Garamond"/>
          <w:color w:val="000000" w:themeColor="text1"/>
        </w:rPr>
        <w:t xml:space="preserve"> Dr. Arturo A. Nájera:</w:t>
      </w:r>
    </w:p>
    <w:p w14:paraId="2BC992A7" w14:textId="77777777" w:rsidR="004424CE" w:rsidRPr="000113B8" w:rsidRDefault="004424CE" w:rsidP="00C0220B">
      <w:pPr>
        <w:jc w:val="both"/>
        <w:rPr>
          <w:rFonts w:ascii="Garamond" w:hAnsi="Garamond"/>
          <w:color w:val="000000" w:themeColor="text1"/>
        </w:rPr>
      </w:pPr>
    </w:p>
    <w:p w14:paraId="22A766B4" w14:textId="77777777" w:rsidR="00C0220B" w:rsidRPr="000113B8" w:rsidRDefault="00C0220B" w:rsidP="00C0220B">
      <w:pPr>
        <w:ind w:right="104"/>
        <w:contextualSpacing/>
        <w:jc w:val="center"/>
        <w:rPr>
          <w:rFonts w:ascii="Garamond" w:hAnsi="Garamond" w:cs="Arial"/>
          <w:color w:val="000000" w:themeColor="text1"/>
        </w:rPr>
      </w:pPr>
      <w:r w:rsidRPr="000113B8">
        <w:rPr>
          <w:rFonts w:ascii="Garamond" w:hAnsi="Garamond" w:cs="Arial"/>
          <w:noProof/>
          <w:color w:val="000000" w:themeColor="text1"/>
        </w:rPr>
        <w:lastRenderedPageBreak/>
        <w:drawing>
          <wp:inline distT="0" distB="0" distL="0" distR="0" wp14:anchorId="1F3CE120" wp14:editId="00E1CC43">
            <wp:extent cx="4095750" cy="2272610"/>
            <wp:effectExtent l="38100" t="38100" r="38100" b="33020"/>
            <wp:docPr id="60614995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149957" name=""/>
                    <pic:cNvPicPr/>
                  </pic:nvPicPr>
                  <pic:blipFill>
                    <a:blip r:embed="rId19"/>
                    <a:stretch>
                      <a:fillRect/>
                    </a:stretch>
                  </pic:blipFill>
                  <pic:spPr>
                    <a:xfrm>
                      <a:off x="0" y="0"/>
                      <a:ext cx="4117397" cy="2284621"/>
                    </a:xfrm>
                    <a:prstGeom prst="rect">
                      <a:avLst/>
                    </a:prstGeom>
                    <a:ln w="38100">
                      <a:solidFill>
                        <a:schemeClr val="tx1"/>
                      </a:solidFill>
                    </a:ln>
                  </pic:spPr>
                </pic:pic>
              </a:graphicData>
            </a:graphic>
          </wp:inline>
        </w:drawing>
      </w:r>
    </w:p>
    <w:p w14:paraId="0B1BCD61" w14:textId="77777777" w:rsidR="00C0220B" w:rsidRPr="000113B8" w:rsidRDefault="00C0220B" w:rsidP="00C0220B">
      <w:pPr>
        <w:ind w:right="104"/>
        <w:contextualSpacing/>
        <w:jc w:val="center"/>
        <w:rPr>
          <w:rFonts w:ascii="Garamond" w:hAnsi="Garamond" w:cs="Arial"/>
          <w:color w:val="000000" w:themeColor="text1"/>
        </w:rPr>
      </w:pPr>
      <w:r w:rsidRPr="000113B8">
        <w:rPr>
          <w:rFonts w:ascii="Garamond" w:hAnsi="Garamond" w:cs="Arial"/>
          <w:color w:val="000000" w:themeColor="text1"/>
        </w:rPr>
        <w:t>Fuente: FASECOLDA – Cifras de la Industria enero de 2026</w:t>
      </w:r>
    </w:p>
    <w:p w14:paraId="44A2A860" w14:textId="77777777" w:rsidR="00C0220B" w:rsidRPr="000113B8" w:rsidRDefault="00C0220B" w:rsidP="00C0220B">
      <w:pPr>
        <w:ind w:right="104"/>
        <w:contextualSpacing/>
        <w:jc w:val="both"/>
        <w:rPr>
          <w:rFonts w:ascii="Garamond" w:hAnsi="Garamond" w:cs="Arial"/>
          <w:color w:val="000000" w:themeColor="text1"/>
        </w:rPr>
      </w:pPr>
    </w:p>
    <w:p w14:paraId="2F22562C" w14:textId="77777777" w:rsidR="00C0220B" w:rsidRPr="000113B8" w:rsidRDefault="00C0220B" w:rsidP="00C0220B">
      <w:pPr>
        <w:ind w:right="104"/>
        <w:contextualSpacing/>
        <w:jc w:val="both"/>
        <w:rPr>
          <w:rFonts w:ascii="Garamond" w:hAnsi="Garamond" w:cs="Arial"/>
          <w:color w:val="000000" w:themeColor="text1"/>
        </w:rPr>
      </w:pPr>
      <w:r w:rsidRPr="000113B8">
        <w:rPr>
          <w:rFonts w:ascii="Garamond" w:hAnsi="Garamond" w:cs="Arial"/>
          <w:color w:val="000000" w:themeColor="text1"/>
        </w:rPr>
        <w:t>En el comportamiento de primas emitidas por ramos se evidencia que el ramo de vida presentó un incremento del 4%, es decir, que las primas de estos seguros fueron por 1.115 mil millones de pesos, frente al mismo periodo del año inmediatamente anterior.</w:t>
      </w:r>
    </w:p>
    <w:p w14:paraId="5A16FC15" w14:textId="77777777" w:rsidR="00C0220B" w:rsidRPr="000113B8" w:rsidRDefault="00C0220B" w:rsidP="00C0220B">
      <w:pPr>
        <w:ind w:right="104"/>
        <w:contextualSpacing/>
        <w:jc w:val="both"/>
        <w:rPr>
          <w:rFonts w:ascii="Garamond" w:hAnsi="Garamond" w:cs="Arial"/>
          <w:b/>
          <w:bCs/>
          <w:color w:val="000000" w:themeColor="text1"/>
        </w:rPr>
      </w:pPr>
    </w:p>
    <w:p w14:paraId="3ED18A6B" w14:textId="77777777" w:rsidR="00C0220B" w:rsidRPr="000113B8" w:rsidRDefault="00C0220B" w:rsidP="00C0220B">
      <w:pPr>
        <w:ind w:right="104"/>
        <w:contextualSpacing/>
        <w:jc w:val="center"/>
        <w:rPr>
          <w:rFonts w:ascii="Garamond" w:hAnsi="Garamond" w:cs="Arial"/>
          <w:color w:val="000000" w:themeColor="text1"/>
        </w:rPr>
      </w:pPr>
      <w:r w:rsidRPr="000113B8">
        <w:rPr>
          <w:rFonts w:ascii="Garamond" w:hAnsi="Garamond" w:cs="Arial"/>
          <w:noProof/>
          <w:color w:val="000000" w:themeColor="text1"/>
        </w:rPr>
        <w:drawing>
          <wp:inline distT="0" distB="0" distL="0" distR="0" wp14:anchorId="640102A8" wp14:editId="1A55B5C8">
            <wp:extent cx="4371975" cy="2321819"/>
            <wp:effectExtent l="38100" t="38100" r="28575" b="40640"/>
            <wp:docPr id="1925834851"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82568" cy="2327445"/>
                    </a:xfrm>
                    <a:prstGeom prst="rect">
                      <a:avLst/>
                    </a:prstGeom>
                    <a:noFill/>
                    <a:ln w="38100">
                      <a:solidFill>
                        <a:schemeClr val="tx1"/>
                      </a:solidFill>
                    </a:ln>
                  </pic:spPr>
                </pic:pic>
              </a:graphicData>
            </a:graphic>
          </wp:inline>
        </w:drawing>
      </w:r>
    </w:p>
    <w:p w14:paraId="07B80E14" w14:textId="77777777" w:rsidR="00C0220B" w:rsidRPr="000113B8" w:rsidRDefault="00C0220B" w:rsidP="00C0220B">
      <w:pPr>
        <w:ind w:right="104"/>
        <w:contextualSpacing/>
        <w:jc w:val="center"/>
        <w:rPr>
          <w:rFonts w:ascii="Garamond" w:hAnsi="Garamond" w:cs="Arial"/>
          <w:color w:val="000000" w:themeColor="text1"/>
        </w:rPr>
      </w:pPr>
      <w:r w:rsidRPr="000113B8">
        <w:rPr>
          <w:rFonts w:ascii="Garamond" w:hAnsi="Garamond" w:cs="Arial"/>
          <w:color w:val="000000" w:themeColor="text1"/>
        </w:rPr>
        <w:t>Fuente: FASECOLDA – Cifras de la Industria enero de 2026</w:t>
      </w:r>
    </w:p>
    <w:p w14:paraId="3B00DBA0" w14:textId="77777777" w:rsidR="00C0220B" w:rsidRPr="000113B8" w:rsidRDefault="00C0220B" w:rsidP="00C0220B">
      <w:pPr>
        <w:ind w:right="104"/>
        <w:contextualSpacing/>
        <w:jc w:val="both"/>
        <w:rPr>
          <w:rFonts w:ascii="Garamond" w:hAnsi="Garamond" w:cs="Arial"/>
          <w:color w:val="000000" w:themeColor="text1"/>
        </w:rPr>
      </w:pPr>
    </w:p>
    <w:p w14:paraId="2AF6521B" w14:textId="77777777" w:rsidR="00C0220B" w:rsidRPr="000113B8" w:rsidRDefault="00C0220B" w:rsidP="00C0220B">
      <w:pPr>
        <w:ind w:right="104"/>
        <w:contextualSpacing/>
        <w:jc w:val="both"/>
        <w:rPr>
          <w:rFonts w:ascii="Garamond" w:hAnsi="Garamond" w:cs="Arial"/>
          <w:color w:val="000000" w:themeColor="text1"/>
        </w:rPr>
      </w:pPr>
      <w:r w:rsidRPr="000113B8">
        <w:rPr>
          <w:rFonts w:ascii="Garamond" w:hAnsi="Garamond" w:cs="Arial"/>
          <w:color w:val="000000" w:themeColor="text1"/>
        </w:rPr>
        <w:t>En el comportamiento del sector respecto de las primas emitidas por grupos de ramos se evidencia que en los seguros de personas se presentó un aumento frente al mismo periodo del año inmediatamente anterior, con un valor de primas de 1.372 mil millones de pesos, es decir, un incremento del 11%.</w:t>
      </w:r>
    </w:p>
    <w:p w14:paraId="46B8AC80" w14:textId="77777777" w:rsidR="00C0220B" w:rsidRPr="000113B8" w:rsidRDefault="00C0220B" w:rsidP="00C0220B">
      <w:pPr>
        <w:ind w:right="104"/>
        <w:contextualSpacing/>
        <w:jc w:val="both"/>
        <w:rPr>
          <w:rFonts w:ascii="Garamond" w:hAnsi="Garamond" w:cs="Arial"/>
          <w:color w:val="000000" w:themeColor="text1"/>
        </w:rPr>
      </w:pPr>
    </w:p>
    <w:p w14:paraId="35BE8A69" w14:textId="77777777" w:rsidR="00C0220B" w:rsidRPr="000113B8" w:rsidRDefault="00C0220B" w:rsidP="00C0220B">
      <w:pPr>
        <w:ind w:right="104"/>
        <w:contextualSpacing/>
        <w:jc w:val="center"/>
        <w:rPr>
          <w:rFonts w:ascii="Garamond" w:hAnsi="Garamond" w:cs="Arial"/>
          <w:color w:val="000000" w:themeColor="text1"/>
        </w:rPr>
      </w:pPr>
      <w:r w:rsidRPr="000113B8">
        <w:rPr>
          <w:rFonts w:ascii="Garamond" w:hAnsi="Garamond" w:cs="Arial"/>
          <w:noProof/>
          <w:color w:val="000000" w:themeColor="text1"/>
        </w:rPr>
        <w:lastRenderedPageBreak/>
        <w:drawing>
          <wp:inline distT="0" distB="0" distL="0" distR="0" wp14:anchorId="5E4F3ADF" wp14:editId="2092696F">
            <wp:extent cx="4569029" cy="1971135"/>
            <wp:effectExtent l="38100" t="38100" r="41275" b="29210"/>
            <wp:docPr id="125926182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261820" name=""/>
                    <pic:cNvPicPr/>
                  </pic:nvPicPr>
                  <pic:blipFill>
                    <a:blip r:embed="rId21"/>
                    <a:stretch>
                      <a:fillRect/>
                    </a:stretch>
                  </pic:blipFill>
                  <pic:spPr>
                    <a:xfrm>
                      <a:off x="0" y="0"/>
                      <a:ext cx="4578728" cy="1975319"/>
                    </a:xfrm>
                    <a:prstGeom prst="rect">
                      <a:avLst/>
                    </a:prstGeom>
                    <a:ln w="38100">
                      <a:solidFill>
                        <a:schemeClr val="tx1"/>
                      </a:solidFill>
                    </a:ln>
                  </pic:spPr>
                </pic:pic>
              </a:graphicData>
            </a:graphic>
          </wp:inline>
        </w:drawing>
      </w:r>
    </w:p>
    <w:p w14:paraId="69D0A4CD" w14:textId="77777777" w:rsidR="00C0220B" w:rsidRPr="000113B8" w:rsidRDefault="00C0220B" w:rsidP="00C0220B">
      <w:pPr>
        <w:ind w:right="104"/>
        <w:contextualSpacing/>
        <w:jc w:val="center"/>
        <w:rPr>
          <w:rFonts w:ascii="Garamond" w:hAnsi="Garamond" w:cs="Arial"/>
          <w:color w:val="000000" w:themeColor="text1"/>
        </w:rPr>
      </w:pPr>
      <w:r w:rsidRPr="000113B8">
        <w:rPr>
          <w:rFonts w:ascii="Garamond" w:hAnsi="Garamond" w:cs="Arial"/>
          <w:color w:val="000000" w:themeColor="text1"/>
        </w:rPr>
        <w:t>Fuente: FASECOLDA – Cifras de la Industria enero de 2026</w:t>
      </w:r>
    </w:p>
    <w:p w14:paraId="044F3155" w14:textId="77777777" w:rsidR="00C0220B" w:rsidRPr="000113B8" w:rsidRDefault="00C0220B" w:rsidP="00C0220B">
      <w:pPr>
        <w:ind w:right="104"/>
        <w:contextualSpacing/>
        <w:jc w:val="both"/>
        <w:rPr>
          <w:rFonts w:ascii="Garamond" w:hAnsi="Garamond" w:cs="Arial"/>
          <w:color w:val="000000" w:themeColor="text1"/>
        </w:rPr>
      </w:pPr>
    </w:p>
    <w:p w14:paraId="6D2429B9" w14:textId="77777777" w:rsidR="00C0220B" w:rsidRPr="000113B8" w:rsidRDefault="00C0220B" w:rsidP="00C0220B">
      <w:pPr>
        <w:ind w:right="104"/>
        <w:contextualSpacing/>
        <w:jc w:val="both"/>
        <w:rPr>
          <w:rFonts w:ascii="Garamond" w:hAnsi="Garamond" w:cs="Arial"/>
          <w:color w:val="000000" w:themeColor="text1"/>
        </w:rPr>
      </w:pPr>
      <w:r w:rsidRPr="000113B8">
        <w:rPr>
          <w:rFonts w:ascii="Garamond" w:hAnsi="Garamond" w:cs="Arial"/>
          <w:color w:val="000000" w:themeColor="text1"/>
        </w:rPr>
        <w:t>La gráfica muestra que la variación real en el crecimiento de las primas fue del -3.7% descontando la inflación anual al corte del mes de cada período y la variación respecto del PIB fue del 2.8%.</w:t>
      </w:r>
    </w:p>
    <w:p w14:paraId="1F617F9E" w14:textId="77777777" w:rsidR="00C0220B" w:rsidRPr="000113B8" w:rsidRDefault="00C0220B" w:rsidP="00C0220B">
      <w:pPr>
        <w:ind w:right="104"/>
        <w:contextualSpacing/>
        <w:jc w:val="both"/>
        <w:rPr>
          <w:rFonts w:ascii="Garamond" w:hAnsi="Garamond" w:cs="Arial"/>
          <w:b/>
          <w:bCs/>
          <w:color w:val="000000" w:themeColor="text1"/>
        </w:rPr>
      </w:pPr>
    </w:p>
    <w:p w14:paraId="67DD9876" w14:textId="77777777" w:rsidR="00C0220B" w:rsidRPr="000113B8" w:rsidRDefault="00C0220B" w:rsidP="00C0220B">
      <w:pPr>
        <w:ind w:right="104"/>
        <w:contextualSpacing/>
        <w:jc w:val="center"/>
        <w:rPr>
          <w:rFonts w:ascii="Garamond" w:hAnsi="Garamond" w:cs="Arial"/>
          <w:color w:val="000000" w:themeColor="text1"/>
        </w:rPr>
      </w:pPr>
      <w:r w:rsidRPr="000113B8">
        <w:rPr>
          <w:rFonts w:ascii="Garamond" w:hAnsi="Garamond" w:cs="Arial"/>
          <w:noProof/>
          <w:color w:val="000000" w:themeColor="text1"/>
        </w:rPr>
        <w:drawing>
          <wp:inline distT="0" distB="0" distL="0" distR="0" wp14:anchorId="2BE39ACC" wp14:editId="55B644EC">
            <wp:extent cx="5244775" cy="2808617"/>
            <wp:effectExtent l="38100" t="38100" r="32385" b="29845"/>
            <wp:docPr id="1924712939"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60803" cy="2817200"/>
                    </a:xfrm>
                    <a:prstGeom prst="rect">
                      <a:avLst/>
                    </a:prstGeom>
                    <a:noFill/>
                    <a:ln w="38100">
                      <a:solidFill>
                        <a:schemeClr val="tx1"/>
                      </a:solidFill>
                    </a:ln>
                  </pic:spPr>
                </pic:pic>
              </a:graphicData>
            </a:graphic>
          </wp:inline>
        </w:drawing>
      </w:r>
    </w:p>
    <w:p w14:paraId="3B2EDC81" w14:textId="77777777" w:rsidR="00C0220B" w:rsidRPr="000113B8" w:rsidRDefault="00C0220B" w:rsidP="00C0220B">
      <w:pPr>
        <w:ind w:right="104"/>
        <w:contextualSpacing/>
        <w:jc w:val="center"/>
        <w:rPr>
          <w:rFonts w:ascii="Garamond" w:hAnsi="Garamond" w:cs="Arial"/>
          <w:color w:val="000000" w:themeColor="text1"/>
        </w:rPr>
      </w:pPr>
      <w:bookmarkStart w:id="10" w:name="_Hlk220067764"/>
      <w:r w:rsidRPr="000113B8">
        <w:rPr>
          <w:rFonts w:ascii="Garamond" w:hAnsi="Garamond" w:cs="Arial"/>
          <w:color w:val="000000" w:themeColor="text1"/>
        </w:rPr>
        <w:t>Fuente: FASECOLDA – Cifras de la Industria enero de 2026</w:t>
      </w:r>
    </w:p>
    <w:bookmarkEnd w:id="10"/>
    <w:p w14:paraId="0FCE2173" w14:textId="77777777" w:rsidR="00C0220B" w:rsidRPr="000113B8" w:rsidRDefault="00C0220B" w:rsidP="00C0220B">
      <w:pPr>
        <w:ind w:right="104"/>
        <w:contextualSpacing/>
        <w:jc w:val="both"/>
        <w:rPr>
          <w:rFonts w:ascii="Garamond" w:hAnsi="Garamond" w:cs="Arial"/>
          <w:color w:val="000000" w:themeColor="text1"/>
        </w:rPr>
      </w:pPr>
    </w:p>
    <w:p w14:paraId="71E5F16C" w14:textId="77777777" w:rsidR="00C0220B" w:rsidRPr="000113B8" w:rsidRDefault="00C0220B" w:rsidP="00C0220B">
      <w:pPr>
        <w:ind w:right="104"/>
        <w:contextualSpacing/>
        <w:jc w:val="both"/>
        <w:rPr>
          <w:rFonts w:ascii="Garamond" w:hAnsi="Garamond" w:cs="Arial"/>
          <w:color w:val="000000" w:themeColor="text1"/>
        </w:rPr>
      </w:pPr>
      <w:r w:rsidRPr="000113B8">
        <w:rPr>
          <w:rFonts w:ascii="Garamond" w:hAnsi="Garamond" w:cs="Arial"/>
          <w:color w:val="000000" w:themeColor="text1"/>
        </w:rPr>
        <w:t>Se evidencia que en la siniestralidad acumulada para los ramos de vida fue del 45%, es decir, que disminuyó en comparación con el mismo periodo del año inmediatamente anterior.</w:t>
      </w:r>
    </w:p>
    <w:p w14:paraId="1D6BA25D" w14:textId="77777777" w:rsidR="00C0220B" w:rsidRPr="000113B8" w:rsidRDefault="00C0220B" w:rsidP="00C0220B">
      <w:pPr>
        <w:ind w:right="104"/>
        <w:contextualSpacing/>
        <w:jc w:val="both"/>
        <w:rPr>
          <w:rFonts w:ascii="Garamond" w:hAnsi="Garamond" w:cs="Arial"/>
          <w:color w:val="000000" w:themeColor="text1"/>
        </w:rPr>
      </w:pPr>
    </w:p>
    <w:p w14:paraId="45409371" w14:textId="77777777" w:rsidR="00C0220B" w:rsidRPr="000113B8" w:rsidRDefault="00C0220B" w:rsidP="00C0220B">
      <w:pPr>
        <w:ind w:right="104"/>
        <w:contextualSpacing/>
        <w:jc w:val="center"/>
        <w:rPr>
          <w:rFonts w:ascii="Garamond" w:hAnsi="Garamond" w:cs="Arial"/>
          <w:color w:val="000000" w:themeColor="text1"/>
        </w:rPr>
      </w:pPr>
      <w:r w:rsidRPr="000113B8">
        <w:rPr>
          <w:rFonts w:ascii="Garamond" w:hAnsi="Garamond" w:cs="Arial"/>
          <w:noProof/>
          <w:color w:val="000000" w:themeColor="text1"/>
        </w:rPr>
        <w:lastRenderedPageBreak/>
        <w:drawing>
          <wp:inline distT="0" distB="0" distL="0" distR="0" wp14:anchorId="4C7EF025" wp14:editId="3CCF9030">
            <wp:extent cx="4180840" cy="2677712"/>
            <wp:effectExtent l="38100" t="38100" r="29210" b="46990"/>
            <wp:docPr id="8517459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745936" name=""/>
                    <pic:cNvPicPr/>
                  </pic:nvPicPr>
                  <pic:blipFill>
                    <a:blip r:embed="rId23"/>
                    <a:stretch>
                      <a:fillRect/>
                    </a:stretch>
                  </pic:blipFill>
                  <pic:spPr>
                    <a:xfrm>
                      <a:off x="0" y="0"/>
                      <a:ext cx="4184797" cy="2680247"/>
                    </a:xfrm>
                    <a:prstGeom prst="rect">
                      <a:avLst/>
                    </a:prstGeom>
                    <a:ln w="38100">
                      <a:solidFill>
                        <a:schemeClr val="tx1"/>
                      </a:solidFill>
                    </a:ln>
                  </pic:spPr>
                </pic:pic>
              </a:graphicData>
            </a:graphic>
          </wp:inline>
        </w:drawing>
      </w:r>
    </w:p>
    <w:p w14:paraId="59651EBB" w14:textId="77777777" w:rsidR="00C0220B" w:rsidRPr="000113B8" w:rsidRDefault="00C0220B" w:rsidP="00C0220B">
      <w:pPr>
        <w:ind w:right="104"/>
        <w:contextualSpacing/>
        <w:jc w:val="center"/>
        <w:rPr>
          <w:rFonts w:ascii="Garamond" w:hAnsi="Garamond" w:cs="Arial"/>
          <w:color w:val="000000" w:themeColor="text1"/>
        </w:rPr>
      </w:pPr>
      <w:r w:rsidRPr="000113B8">
        <w:rPr>
          <w:rFonts w:ascii="Garamond" w:hAnsi="Garamond" w:cs="Arial"/>
          <w:color w:val="000000" w:themeColor="text1"/>
        </w:rPr>
        <w:t>Fuente: FASECOLDA – Cifras de la Industria enero de 2026</w:t>
      </w:r>
    </w:p>
    <w:p w14:paraId="1758CD1E" w14:textId="77777777" w:rsidR="00C0220B" w:rsidRPr="000113B8" w:rsidRDefault="00C0220B" w:rsidP="00C0220B">
      <w:pPr>
        <w:ind w:right="104"/>
        <w:contextualSpacing/>
        <w:jc w:val="both"/>
        <w:rPr>
          <w:rFonts w:ascii="Garamond" w:hAnsi="Garamond" w:cs="Arial"/>
          <w:color w:val="000000" w:themeColor="text1"/>
        </w:rPr>
      </w:pPr>
    </w:p>
    <w:p w14:paraId="44C1C1ED" w14:textId="77777777" w:rsidR="00C0220B" w:rsidRPr="000113B8" w:rsidRDefault="00C0220B" w:rsidP="00C0220B">
      <w:pPr>
        <w:ind w:right="104"/>
        <w:contextualSpacing/>
        <w:jc w:val="both"/>
        <w:rPr>
          <w:rFonts w:ascii="Garamond" w:hAnsi="Garamond" w:cs="Arial"/>
          <w:color w:val="000000" w:themeColor="text1"/>
        </w:rPr>
      </w:pPr>
      <w:r w:rsidRPr="000113B8">
        <w:rPr>
          <w:rFonts w:ascii="Garamond" w:hAnsi="Garamond" w:cs="Arial"/>
          <w:color w:val="000000" w:themeColor="text1"/>
        </w:rPr>
        <w:t xml:space="preserve">En el comparativo de primas frente a la siniestralidad, a continuación, se detalla la información del ramo de Vida Grupo, en donde las primas emitidas fueron de 587 mil de millones de pesos, es decir, se dio una variación del 12% frente a una siniestralidad incurrida del 31%. </w:t>
      </w:r>
    </w:p>
    <w:p w14:paraId="32EAB138" w14:textId="77777777" w:rsidR="004424CE" w:rsidRPr="000113B8" w:rsidRDefault="004424CE" w:rsidP="00C0220B">
      <w:pPr>
        <w:ind w:right="104"/>
        <w:contextualSpacing/>
        <w:jc w:val="both"/>
        <w:rPr>
          <w:rFonts w:ascii="Garamond" w:hAnsi="Garamond" w:cs="Arial"/>
          <w:color w:val="000000" w:themeColor="text1"/>
        </w:rPr>
      </w:pPr>
    </w:p>
    <w:p w14:paraId="73FEEBDD" w14:textId="32F91534" w:rsidR="004424CE" w:rsidRPr="000113B8" w:rsidRDefault="004424CE" w:rsidP="00C54B99">
      <w:pPr>
        <w:pStyle w:val="Prrafodelista"/>
        <w:widowControl/>
        <w:numPr>
          <w:ilvl w:val="1"/>
          <w:numId w:val="2"/>
        </w:numPr>
        <w:autoSpaceDE/>
        <w:autoSpaceDN/>
        <w:spacing w:after="200"/>
        <w:contextualSpacing/>
        <w:jc w:val="both"/>
        <w:rPr>
          <w:rFonts w:ascii="Garamond" w:hAnsi="Garamond" w:cs="Arial"/>
          <w:b/>
          <w:bCs/>
          <w:color w:val="000000" w:themeColor="text1"/>
        </w:rPr>
      </w:pPr>
      <w:r w:rsidRPr="000113B8">
        <w:rPr>
          <w:rFonts w:ascii="Garamond" w:eastAsia="Batang" w:hAnsi="Garamond" w:cs="Arial"/>
          <w:b/>
          <w:bCs/>
          <w:color w:val="000000" w:themeColor="text1"/>
        </w:rPr>
        <w:t>GREMIOS Y ORGANISMOS REGULADORES DEL SECTOR</w:t>
      </w:r>
    </w:p>
    <w:p w14:paraId="15AB7C84" w14:textId="77777777" w:rsidR="004424CE" w:rsidRPr="000113B8" w:rsidRDefault="004424CE" w:rsidP="004424CE">
      <w:pPr>
        <w:pStyle w:val="Prrafodelista"/>
        <w:ind w:left="426"/>
        <w:rPr>
          <w:rFonts w:ascii="Garamond" w:hAnsi="Garamond" w:cs="Arial"/>
          <w:b/>
          <w:bCs/>
          <w:color w:val="000000" w:themeColor="text1"/>
        </w:rPr>
      </w:pPr>
    </w:p>
    <w:p w14:paraId="6ED497E9" w14:textId="77777777" w:rsidR="004424CE" w:rsidRPr="000113B8" w:rsidRDefault="004424CE" w:rsidP="00C54B99">
      <w:pPr>
        <w:pStyle w:val="Prrafodelista"/>
        <w:widowControl/>
        <w:numPr>
          <w:ilvl w:val="0"/>
          <w:numId w:val="8"/>
        </w:numPr>
        <w:autoSpaceDE/>
        <w:autoSpaceDN/>
        <w:spacing w:before="0" w:after="200"/>
        <w:contextualSpacing/>
        <w:jc w:val="both"/>
        <w:rPr>
          <w:rFonts w:ascii="Garamond" w:eastAsia="Batang" w:hAnsi="Garamond" w:cs="Arial"/>
          <w:b/>
          <w:color w:val="000000" w:themeColor="text1"/>
        </w:rPr>
      </w:pPr>
      <w:r w:rsidRPr="000113B8">
        <w:rPr>
          <w:rFonts w:ascii="Garamond" w:eastAsia="Batang" w:hAnsi="Garamond" w:cs="Arial"/>
          <w:b/>
          <w:color w:val="000000" w:themeColor="text1"/>
        </w:rPr>
        <w:t>Superintendencia Financiera de Colombia</w:t>
      </w:r>
    </w:p>
    <w:p w14:paraId="6CD4BC2E" w14:textId="77777777" w:rsidR="004424CE" w:rsidRPr="000113B8" w:rsidRDefault="004424CE" w:rsidP="004424CE">
      <w:pPr>
        <w:jc w:val="both"/>
        <w:rPr>
          <w:rFonts w:ascii="Garamond" w:eastAsia="Batang" w:hAnsi="Garamond" w:cs="Arial"/>
          <w:color w:val="000000" w:themeColor="text1"/>
        </w:rPr>
      </w:pPr>
      <w:r w:rsidRPr="000113B8">
        <w:rPr>
          <w:rFonts w:ascii="Garamond" w:eastAsia="Batang" w:hAnsi="Garamond" w:cs="Arial"/>
          <w:color w:val="000000" w:themeColor="text1"/>
        </w:rPr>
        <w:t xml:space="preserve">La Superintendencia Financiera de Colombia, es un organismo técnico adscrito al Ministerio de Hacienda y Crédito Público, con personería jurídica, autonomía administrativa y financiera y patrimonio propio. </w:t>
      </w:r>
    </w:p>
    <w:p w14:paraId="38441856" w14:textId="77777777" w:rsidR="004424CE" w:rsidRPr="000113B8" w:rsidRDefault="004424CE" w:rsidP="004424CE">
      <w:pPr>
        <w:jc w:val="both"/>
        <w:rPr>
          <w:rFonts w:ascii="Garamond" w:eastAsia="Batang" w:hAnsi="Garamond" w:cs="Arial"/>
          <w:color w:val="000000" w:themeColor="text1"/>
        </w:rPr>
      </w:pPr>
    </w:p>
    <w:p w14:paraId="27667D2D" w14:textId="77777777" w:rsidR="004424CE" w:rsidRPr="000113B8" w:rsidRDefault="004424CE" w:rsidP="004424CE">
      <w:pPr>
        <w:jc w:val="both"/>
        <w:rPr>
          <w:rFonts w:ascii="Garamond" w:eastAsia="Batang" w:hAnsi="Garamond" w:cs="Arial"/>
          <w:color w:val="000000" w:themeColor="text1"/>
        </w:rPr>
      </w:pPr>
      <w:r w:rsidRPr="000113B8">
        <w:rPr>
          <w:rFonts w:ascii="Garamond" w:eastAsia="Batang" w:hAnsi="Garamond" w:cs="Arial"/>
          <w:color w:val="000000" w:themeColor="text1"/>
        </w:rPr>
        <w:t>La Superintendencia Financiera de Colombia tiene por objetivo supervisar el sistema financiero colombiano con el fin de preservar su estabilidad, seguridad y confianza, así́ como, promover, organizar y desarrollar el mercado de valores colombiano y la protecci</w:t>
      </w:r>
      <w:r w:rsidRPr="000113B8">
        <w:rPr>
          <w:rFonts w:ascii="Garamond" w:eastAsia="Batang" w:hAnsi="Garamond" w:cs="Garamond"/>
          <w:color w:val="000000" w:themeColor="text1"/>
        </w:rPr>
        <w:t>ó</w:t>
      </w:r>
      <w:r w:rsidRPr="000113B8">
        <w:rPr>
          <w:rFonts w:ascii="Garamond" w:eastAsia="Batang" w:hAnsi="Garamond" w:cs="Arial"/>
          <w:color w:val="000000" w:themeColor="text1"/>
        </w:rPr>
        <w:t>n de los inversionistas, ahorradores y asegurados.</w:t>
      </w:r>
    </w:p>
    <w:p w14:paraId="21DCEA56" w14:textId="77777777" w:rsidR="004424CE" w:rsidRPr="000113B8" w:rsidRDefault="004424CE" w:rsidP="004424CE">
      <w:pPr>
        <w:jc w:val="both"/>
        <w:rPr>
          <w:rFonts w:ascii="Garamond" w:eastAsia="Batang" w:hAnsi="Garamond" w:cs="Arial"/>
          <w:color w:val="000000" w:themeColor="text1"/>
        </w:rPr>
      </w:pPr>
    </w:p>
    <w:p w14:paraId="3316A78E" w14:textId="77777777" w:rsidR="004424CE" w:rsidRPr="000113B8" w:rsidRDefault="004424CE" w:rsidP="004424CE">
      <w:pPr>
        <w:jc w:val="both"/>
        <w:rPr>
          <w:rFonts w:ascii="Garamond" w:eastAsia="Batang" w:hAnsi="Garamond" w:cs="Arial"/>
          <w:color w:val="000000" w:themeColor="text1"/>
        </w:rPr>
      </w:pPr>
      <w:r w:rsidRPr="000113B8">
        <w:rPr>
          <w:rFonts w:ascii="Garamond" w:eastAsia="Batang" w:hAnsi="Garamond" w:cs="Arial"/>
          <w:color w:val="000000" w:themeColor="text1"/>
        </w:rPr>
        <w:t xml:space="preserve">Respecto al sector asegurador vela por el cumplimento de las disposiciones previstas en el Estatuto Orgánico del Sistema Financiero, en especial las relacionadas con lo dispuesto en el Decreto 2954 de 2010, que establece los requisitos financieros y de solvencia de las entidades del sector: </w:t>
      </w:r>
    </w:p>
    <w:p w14:paraId="0726C2EA" w14:textId="77777777" w:rsidR="004424CE" w:rsidRPr="000113B8" w:rsidRDefault="004424CE" w:rsidP="004424CE">
      <w:pPr>
        <w:jc w:val="both"/>
        <w:rPr>
          <w:rFonts w:ascii="Garamond" w:eastAsia="Batang" w:hAnsi="Garamond" w:cs="Arial"/>
          <w:color w:val="000000" w:themeColor="text1"/>
        </w:rPr>
      </w:pPr>
    </w:p>
    <w:p w14:paraId="751033B1" w14:textId="77777777" w:rsidR="004424CE" w:rsidRPr="000113B8" w:rsidRDefault="004424CE" w:rsidP="004424CE">
      <w:pPr>
        <w:jc w:val="both"/>
        <w:rPr>
          <w:rFonts w:ascii="Garamond" w:eastAsia="Batang" w:hAnsi="Garamond" w:cs="Arial"/>
          <w:i/>
          <w:iCs/>
          <w:color w:val="000000" w:themeColor="text1"/>
        </w:rPr>
      </w:pPr>
      <w:r w:rsidRPr="000113B8">
        <w:rPr>
          <w:rFonts w:ascii="Garamond" w:eastAsia="Batang" w:hAnsi="Garamond" w:cs="Arial"/>
          <w:i/>
          <w:iCs/>
          <w:color w:val="000000" w:themeColor="text1"/>
        </w:rPr>
        <w:t>“Que, de acuerdo con los estándares internacionales de regulación, los requerimientos de solvencia para las entidades aseguradoras deben tener en cuenta no sólo los riesgos de suscripción asociados a los riesgos amparados y las primas cobradas, sino que también deben considerar otro tipo de riesgos como los propiamente financieros tal como el de mercado y el de activo”.</w:t>
      </w:r>
    </w:p>
    <w:p w14:paraId="099BFF58" w14:textId="77777777" w:rsidR="004424CE" w:rsidRPr="000113B8" w:rsidRDefault="004424CE" w:rsidP="004424CE">
      <w:pPr>
        <w:jc w:val="both"/>
        <w:rPr>
          <w:rFonts w:ascii="Garamond" w:eastAsia="Batang" w:hAnsi="Garamond" w:cs="Arial"/>
          <w:i/>
          <w:iCs/>
          <w:color w:val="000000" w:themeColor="text1"/>
        </w:rPr>
      </w:pPr>
    </w:p>
    <w:p w14:paraId="409F9821" w14:textId="77777777" w:rsidR="004424CE" w:rsidRPr="000113B8" w:rsidRDefault="004424CE" w:rsidP="00C54B99">
      <w:pPr>
        <w:pStyle w:val="Prrafodelista"/>
        <w:widowControl/>
        <w:numPr>
          <w:ilvl w:val="0"/>
          <w:numId w:val="8"/>
        </w:numPr>
        <w:autoSpaceDE/>
        <w:autoSpaceDN/>
        <w:spacing w:before="0" w:after="200"/>
        <w:contextualSpacing/>
        <w:jc w:val="both"/>
        <w:rPr>
          <w:rFonts w:ascii="Garamond" w:eastAsia="Batang" w:hAnsi="Garamond" w:cs="Arial"/>
          <w:b/>
          <w:color w:val="000000" w:themeColor="text1"/>
        </w:rPr>
      </w:pPr>
      <w:r w:rsidRPr="000113B8">
        <w:rPr>
          <w:rFonts w:ascii="Garamond" w:eastAsia="Batang" w:hAnsi="Garamond" w:cs="Arial"/>
          <w:b/>
          <w:color w:val="000000" w:themeColor="text1"/>
        </w:rPr>
        <w:t>Federación de Aseguradores de Colombianos - FASECOLDA</w:t>
      </w:r>
    </w:p>
    <w:p w14:paraId="459BF691" w14:textId="77777777" w:rsidR="004424CE" w:rsidRPr="000113B8" w:rsidRDefault="004424CE" w:rsidP="004424CE">
      <w:pPr>
        <w:jc w:val="both"/>
        <w:rPr>
          <w:rFonts w:ascii="Garamond" w:eastAsia="Batang" w:hAnsi="Garamond" w:cs="Arial"/>
          <w:color w:val="000000" w:themeColor="text1"/>
        </w:rPr>
      </w:pPr>
      <w:r w:rsidRPr="000113B8">
        <w:rPr>
          <w:rFonts w:ascii="Garamond" w:eastAsia="Batang" w:hAnsi="Garamond" w:cs="Arial"/>
          <w:color w:val="000000" w:themeColor="text1"/>
        </w:rPr>
        <w:t xml:space="preserve">Como entidad gremial sin ánimo de lucro, </w:t>
      </w:r>
      <w:proofErr w:type="spellStart"/>
      <w:r w:rsidRPr="000113B8">
        <w:rPr>
          <w:rFonts w:ascii="Garamond" w:eastAsia="Batang" w:hAnsi="Garamond" w:cs="Arial"/>
          <w:color w:val="000000" w:themeColor="text1"/>
        </w:rPr>
        <w:t>Fasecolda</w:t>
      </w:r>
      <w:proofErr w:type="spellEnd"/>
      <w:r w:rsidRPr="000113B8">
        <w:rPr>
          <w:rFonts w:ascii="Garamond" w:eastAsia="Batang" w:hAnsi="Garamond" w:cs="Arial"/>
          <w:color w:val="000000" w:themeColor="text1"/>
        </w:rPr>
        <w:t xml:space="preserve"> representa la actividad del sector asegurador frente a las entidades de vigilancia y control, así como a la sociedad en general.</w:t>
      </w:r>
    </w:p>
    <w:p w14:paraId="0B4EE495" w14:textId="77777777" w:rsidR="004424CE" w:rsidRPr="000113B8" w:rsidRDefault="004424CE" w:rsidP="004424CE">
      <w:pPr>
        <w:jc w:val="both"/>
        <w:rPr>
          <w:rFonts w:ascii="Garamond" w:eastAsia="Batang" w:hAnsi="Garamond" w:cs="Arial"/>
          <w:color w:val="000000" w:themeColor="text1"/>
        </w:rPr>
      </w:pPr>
    </w:p>
    <w:p w14:paraId="6CA3DBAD" w14:textId="77777777" w:rsidR="004424CE" w:rsidRPr="000113B8" w:rsidRDefault="004424CE" w:rsidP="004424CE">
      <w:pPr>
        <w:jc w:val="both"/>
        <w:rPr>
          <w:rFonts w:ascii="Garamond" w:eastAsia="Batang" w:hAnsi="Garamond" w:cs="Arial"/>
          <w:color w:val="000000" w:themeColor="text1"/>
        </w:rPr>
      </w:pPr>
      <w:r w:rsidRPr="000113B8">
        <w:rPr>
          <w:rFonts w:ascii="Garamond" w:eastAsia="Batang" w:hAnsi="Garamond" w:cs="Arial"/>
          <w:color w:val="000000" w:themeColor="text1"/>
        </w:rPr>
        <w:t xml:space="preserve">La Federación ha liderado el desarrollo del renglón de seguros mediante la realización de actividades permanentes, en el ámbito nacional e internacional, y gracias a su compromiso con las empresas afiliadas el gremio. En especial, está dedicada a impulsar la cultura de los seguros y la modernización de la industria. Para alcanzar este propósito, analiza y recolecta estadísticas generales, así como específicas de los resultados del </w:t>
      </w:r>
      <w:r w:rsidRPr="000113B8">
        <w:rPr>
          <w:rFonts w:ascii="Garamond" w:eastAsia="Batang" w:hAnsi="Garamond" w:cs="Arial"/>
          <w:color w:val="000000" w:themeColor="text1"/>
        </w:rPr>
        <w:lastRenderedPageBreak/>
        <w:t>sector.</w:t>
      </w:r>
    </w:p>
    <w:p w14:paraId="652F7AD9" w14:textId="77777777" w:rsidR="004424CE" w:rsidRPr="000113B8" w:rsidRDefault="004424CE" w:rsidP="004424CE">
      <w:pPr>
        <w:jc w:val="both"/>
        <w:rPr>
          <w:rFonts w:ascii="Garamond" w:eastAsia="Batang" w:hAnsi="Garamond" w:cs="Arial"/>
          <w:color w:val="000000" w:themeColor="text1"/>
        </w:rPr>
      </w:pPr>
    </w:p>
    <w:p w14:paraId="6988D289" w14:textId="77777777" w:rsidR="004424CE" w:rsidRPr="000113B8" w:rsidRDefault="004424CE" w:rsidP="004424CE">
      <w:pPr>
        <w:jc w:val="both"/>
        <w:rPr>
          <w:rFonts w:ascii="Garamond" w:eastAsia="Batang" w:hAnsi="Garamond" w:cs="Arial"/>
          <w:color w:val="000000" w:themeColor="text1"/>
        </w:rPr>
      </w:pPr>
      <w:r w:rsidRPr="000113B8">
        <w:rPr>
          <w:rFonts w:ascii="Garamond" w:eastAsia="Batang" w:hAnsi="Garamond" w:cs="Arial"/>
          <w:color w:val="000000" w:themeColor="text1"/>
        </w:rPr>
        <w:t>También, adelanta un seguimiento de aquellos proyectos de ley que se tramitan en el Congreso de la República y que puedan tener incidencia en el renglón de seguros, al mismo tiempo que brinda asesoría técnica, jurídica y económica a sus asociados.</w:t>
      </w:r>
    </w:p>
    <w:p w14:paraId="661CA550" w14:textId="77777777" w:rsidR="004424CE" w:rsidRPr="000113B8" w:rsidRDefault="004424CE" w:rsidP="00C0220B">
      <w:pPr>
        <w:ind w:right="104"/>
        <w:contextualSpacing/>
        <w:jc w:val="both"/>
        <w:rPr>
          <w:rFonts w:ascii="Garamond" w:hAnsi="Garamond" w:cs="Arial"/>
          <w:color w:val="000000" w:themeColor="text1"/>
        </w:rPr>
      </w:pPr>
    </w:p>
    <w:p w14:paraId="76E65495" w14:textId="3498337E" w:rsidR="002E20E3" w:rsidRPr="000113B8" w:rsidRDefault="00A502A1" w:rsidP="00C54B99">
      <w:pPr>
        <w:pStyle w:val="Prrafodelista"/>
        <w:numPr>
          <w:ilvl w:val="0"/>
          <w:numId w:val="2"/>
        </w:numPr>
        <w:rPr>
          <w:rFonts w:ascii="Garamond" w:hAnsi="Garamond"/>
          <w:b/>
          <w:bCs/>
          <w:color w:val="000000" w:themeColor="text1"/>
          <w:spacing w:val="-2"/>
        </w:rPr>
      </w:pPr>
      <w:r w:rsidRPr="000113B8">
        <w:rPr>
          <w:rFonts w:ascii="Garamond" w:hAnsi="Garamond"/>
          <w:b/>
          <w:bCs/>
          <w:color w:val="000000" w:themeColor="text1"/>
        </w:rPr>
        <w:t>CONTEXTO</w:t>
      </w:r>
      <w:r w:rsidR="002E20E3" w:rsidRPr="000113B8">
        <w:rPr>
          <w:rFonts w:ascii="Garamond" w:hAnsi="Garamond"/>
          <w:b/>
          <w:bCs/>
          <w:color w:val="000000" w:themeColor="text1"/>
          <w:spacing w:val="-9"/>
        </w:rPr>
        <w:t xml:space="preserve"> </w:t>
      </w:r>
      <w:r w:rsidR="002E20E3" w:rsidRPr="000113B8">
        <w:rPr>
          <w:rFonts w:ascii="Garamond" w:hAnsi="Garamond"/>
          <w:b/>
          <w:bCs/>
          <w:color w:val="000000" w:themeColor="text1"/>
          <w:spacing w:val="-2"/>
        </w:rPr>
        <w:t>TÉCNICO</w:t>
      </w:r>
      <w:r w:rsidR="002E20E3" w:rsidRPr="000113B8">
        <w:rPr>
          <w:rStyle w:val="Refdenotaalpie"/>
          <w:rFonts w:ascii="Garamond" w:hAnsi="Garamond"/>
          <w:b/>
          <w:bCs/>
          <w:color w:val="000000" w:themeColor="text1"/>
          <w:spacing w:val="-2"/>
        </w:rPr>
        <w:footnoteReference w:id="6"/>
      </w:r>
    </w:p>
    <w:p w14:paraId="7D47D2B5" w14:textId="77777777" w:rsidR="002E20E3" w:rsidRPr="000113B8" w:rsidRDefault="002E20E3" w:rsidP="002E20E3">
      <w:pPr>
        <w:rPr>
          <w:rFonts w:ascii="Garamond" w:hAnsi="Garamond"/>
          <w:b/>
          <w:bCs/>
          <w:color w:val="000000" w:themeColor="text1"/>
          <w:spacing w:val="-2"/>
        </w:rPr>
      </w:pPr>
    </w:p>
    <w:p w14:paraId="124511DE" w14:textId="6DBF3E9E" w:rsidR="002E20E3" w:rsidRPr="000113B8" w:rsidRDefault="002E20E3" w:rsidP="002E20E3">
      <w:pPr>
        <w:jc w:val="both"/>
        <w:rPr>
          <w:rFonts w:ascii="Garamond" w:hAnsi="Garamond"/>
          <w:color w:val="000000" w:themeColor="text1"/>
        </w:rPr>
      </w:pPr>
      <w:r w:rsidRPr="000113B8">
        <w:rPr>
          <w:rFonts w:ascii="Garamond" w:hAnsi="Garamond"/>
          <w:color w:val="000000" w:themeColor="text1"/>
        </w:rPr>
        <w:t>La necesidad que pretende satisfacer la Entidad es “</w:t>
      </w:r>
      <w:r w:rsidRPr="000113B8">
        <w:rPr>
          <w:rFonts w:ascii="Garamond" w:hAnsi="Garamond" w:cs="Arial"/>
          <w:b/>
          <w:i/>
          <w:color w:val="000000" w:themeColor="text1"/>
        </w:rPr>
        <w:t>CONTRATAR LA PÓLIZA DE VIDA PARA LOS EDILES DE LA JUNTA ADMINISTRADORA LOCAL DEL FONDO DE DESARROLLO RURAL DE SUMAPAZ</w:t>
      </w:r>
      <w:r w:rsidRPr="000113B8">
        <w:rPr>
          <w:rFonts w:ascii="Garamond" w:hAnsi="Garamond"/>
          <w:color w:val="000000" w:themeColor="text1"/>
        </w:rPr>
        <w:t>”, determinando que el SECTOR al cual pertenece el servicio es el SECTOR ASEGURADOR.</w:t>
      </w:r>
    </w:p>
    <w:p w14:paraId="7EA56BA5" w14:textId="77777777" w:rsidR="002E20E3" w:rsidRPr="000113B8" w:rsidRDefault="002E20E3" w:rsidP="002E20E3">
      <w:pPr>
        <w:jc w:val="both"/>
        <w:rPr>
          <w:rFonts w:ascii="Garamond" w:hAnsi="Garamond"/>
          <w:color w:val="000000" w:themeColor="text1"/>
          <w:spacing w:val="-2"/>
        </w:rPr>
      </w:pPr>
    </w:p>
    <w:p w14:paraId="476B7040" w14:textId="08BF6A1A" w:rsidR="002E20E3" w:rsidRPr="000113B8" w:rsidRDefault="002E20E3" w:rsidP="002E20E3">
      <w:pPr>
        <w:jc w:val="both"/>
        <w:rPr>
          <w:rFonts w:ascii="Garamond" w:hAnsi="Garamond"/>
          <w:color w:val="000000" w:themeColor="text1"/>
          <w:spacing w:val="-2"/>
          <w:lang w:val="es-CO"/>
        </w:rPr>
      </w:pPr>
      <w:r w:rsidRPr="000113B8">
        <w:rPr>
          <w:rFonts w:ascii="Garamond" w:hAnsi="Garamond"/>
          <w:color w:val="000000" w:themeColor="text1"/>
          <w:spacing w:val="-2"/>
          <w:lang w:val="es-CO"/>
        </w:rPr>
        <w:t>E</w:t>
      </w:r>
      <w:r w:rsidR="00F37F1E" w:rsidRPr="000113B8">
        <w:rPr>
          <w:rFonts w:ascii="Garamond" w:hAnsi="Garamond"/>
          <w:color w:val="000000" w:themeColor="text1"/>
          <w:spacing w:val="-2"/>
          <w:lang w:val="es-CO"/>
        </w:rPr>
        <w:t>n ese sentido se precisa que e</w:t>
      </w:r>
      <w:r w:rsidRPr="000113B8">
        <w:rPr>
          <w:rFonts w:ascii="Garamond" w:hAnsi="Garamond"/>
          <w:color w:val="000000" w:themeColor="text1"/>
          <w:spacing w:val="-2"/>
          <w:lang w:val="es-CO"/>
        </w:rPr>
        <w:t>l presente proceso contractual se fundamenta en la necesidad de proteger la vida e integridad de los siete (7) ediles de la Junta Administradora Local de Sumapaz, quienes, en el ejercicio de sus funciones públicas, se encuentran expuestos a diversos riesgos derivados tanto de su rol institucional como de las condiciones particulares del territorio en el que desarrollan sus actividades.</w:t>
      </w:r>
    </w:p>
    <w:p w14:paraId="7FBE22E2" w14:textId="77777777" w:rsidR="002E20E3" w:rsidRPr="000113B8" w:rsidRDefault="002E20E3" w:rsidP="002E20E3">
      <w:pPr>
        <w:jc w:val="both"/>
        <w:rPr>
          <w:rFonts w:ascii="Garamond" w:hAnsi="Garamond"/>
          <w:color w:val="000000" w:themeColor="text1"/>
          <w:spacing w:val="-2"/>
          <w:lang w:val="es-CO"/>
        </w:rPr>
      </w:pPr>
    </w:p>
    <w:p w14:paraId="3C4D3DED" w14:textId="32562A5C" w:rsidR="002E20E3" w:rsidRPr="000113B8" w:rsidRDefault="002E20E3" w:rsidP="002E20E3">
      <w:pPr>
        <w:jc w:val="both"/>
        <w:rPr>
          <w:rFonts w:ascii="Garamond" w:hAnsi="Garamond"/>
          <w:color w:val="000000" w:themeColor="text1"/>
          <w:spacing w:val="-2"/>
          <w:lang w:val="es-CO"/>
        </w:rPr>
      </w:pPr>
      <w:r w:rsidRPr="000113B8">
        <w:rPr>
          <w:rFonts w:ascii="Garamond" w:hAnsi="Garamond"/>
          <w:color w:val="000000" w:themeColor="text1"/>
          <w:spacing w:val="-2"/>
          <w:lang w:val="es-CO"/>
        </w:rPr>
        <w:t>Desde una perspectiva técnica, las pólizas de vida se estructuran a partir de condiciones mínimas obligatorias de carácter habilitante, cuyo propósito es garantizar una cobertura suficiente frente a los riesgos identificados. Estas condiciones responden a tres elementos fundamentales: (i) las necesidades específicas de la entidad, (</w:t>
      </w:r>
      <w:proofErr w:type="spellStart"/>
      <w:r w:rsidRPr="000113B8">
        <w:rPr>
          <w:rFonts w:ascii="Garamond" w:hAnsi="Garamond"/>
          <w:color w:val="000000" w:themeColor="text1"/>
          <w:spacing w:val="-2"/>
          <w:lang w:val="es-CO"/>
        </w:rPr>
        <w:t>ii</w:t>
      </w:r>
      <w:proofErr w:type="spellEnd"/>
      <w:r w:rsidRPr="000113B8">
        <w:rPr>
          <w:rFonts w:ascii="Garamond" w:hAnsi="Garamond"/>
          <w:color w:val="000000" w:themeColor="text1"/>
          <w:spacing w:val="-2"/>
          <w:lang w:val="es-CO"/>
        </w:rPr>
        <w:t>) las dinámicas y condiciones del mercado asegurador y (</w:t>
      </w:r>
      <w:proofErr w:type="spellStart"/>
      <w:r w:rsidRPr="000113B8">
        <w:rPr>
          <w:rFonts w:ascii="Garamond" w:hAnsi="Garamond"/>
          <w:color w:val="000000" w:themeColor="text1"/>
          <w:spacing w:val="-2"/>
          <w:lang w:val="es-CO"/>
        </w:rPr>
        <w:t>iii</w:t>
      </w:r>
      <w:proofErr w:type="spellEnd"/>
      <w:r w:rsidRPr="000113B8">
        <w:rPr>
          <w:rFonts w:ascii="Garamond" w:hAnsi="Garamond"/>
          <w:color w:val="000000" w:themeColor="text1"/>
          <w:spacing w:val="-2"/>
          <w:lang w:val="es-CO"/>
        </w:rPr>
        <w:t xml:space="preserve">) las políticas de suscripción definidas por las compañías de seguros. </w:t>
      </w:r>
    </w:p>
    <w:p w14:paraId="7A4D7074" w14:textId="77777777" w:rsidR="002E20E3" w:rsidRPr="000113B8" w:rsidRDefault="002E20E3" w:rsidP="002E20E3">
      <w:pPr>
        <w:jc w:val="both"/>
        <w:rPr>
          <w:rFonts w:ascii="Garamond" w:hAnsi="Garamond"/>
          <w:color w:val="000000" w:themeColor="text1"/>
          <w:spacing w:val="-2"/>
          <w:lang w:val="es-CO"/>
        </w:rPr>
      </w:pPr>
    </w:p>
    <w:p w14:paraId="07E01DA9" w14:textId="3EA99891" w:rsidR="002E20E3" w:rsidRPr="000113B8" w:rsidRDefault="002E20E3" w:rsidP="002E20E3">
      <w:pPr>
        <w:jc w:val="both"/>
        <w:rPr>
          <w:rFonts w:ascii="Garamond" w:hAnsi="Garamond"/>
          <w:color w:val="000000" w:themeColor="text1"/>
          <w:spacing w:val="-2"/>
          <w:lang w:val="es-CO"/>
        </w:rPr>
      </w:pPr>
      <w:r w:rsidRPr="000113B8">
        <w:rPr>
          <w:rFonts w:ascii="Garamond" w:hAnsi="Garamond"/>
          <w:color w:val="000000" w:themeColor="text1"/>
          <w:spacing w:val="-2"/>
          <w:lang w:val="es-CO"/>
        </w:rPr>
        <w:t xml:space="preserve">Bajo este enfoque, </w:t>
      </w:r>
      <w:r w:rsidR="00F37F1E" w:rsidRPr="000113B8">
        <w:rPr>
          <w:rFonts w:ascii="Garamond" w:hAnsi="Garamond"/>
          <w:color w:val="000000" w:themeColor="text1"/>
          <w:spacing w:val="-2"/>
          <w:lang w:val="es-CO"/>
        </w:rPr>
        <w:t>el seguro de vida grupo</w:t>
      </w:r>
      <w:r w:rsidR="00F4139D" w:rsidRPr="000113B8">
        <w:rPr>
          <w:rFonts w:ascii="Garamond" w:hAnsi="Garamond"/>
          <w:color w:val="000000" w:themeColor="text1"/>
          <w:spacing w:val="-2"/>
          <w:lang w:val="es-CO"/>
        </w:rPr>
        <w:t xml:space="preserve"> no</w:t>
      </w:r>
      <w:r w:rsidRPr="000113B8">
        <w:rPr>
          <w:rFonts w:ascii="Garamond" w:hAnsi="Garamond"/>
          <w:color w:val="000000" w:themeColor="text1"/>
          <w:spacing w:val="-2"/>
          <w:lang w:val="es-CO"/>
        </w:rPr>
        <w:t xml:space="preserve"> se concibe como un esquema rígido, sino como un instrumento dinámico que debe ajustarse tanto a la evolución del mercado como a las particularidades del riesgo asegurado. En consecuencia, las condiciones previamente contratadas pueden ser objeto de revisión y ajuste, conforme a criterios técnicos, financieros y actuariales que garanticen su pertinencia y eficacia.</w:t>
      </w:r>
    </w:p>
    <w:p w14:paraId="3BDE9843" w14:textId="77777777" w:rsidR="002E20E3" w:rsidRPr="000113B8" w:rsidRDefault="002E20E3" w:rsidP="002E20E3">
      <w:pPr>
        <w:jc w:val="both"/>
        <w:rPr>
          <w:rFonts w:ascii="Garamond" w:hAnsi="Garamond"/>
          <w:color w:val="000000" w:themeColor="text1"/>
          <w:spacing w:val="-2"/>
          <w:lang w:val="es-CO"/>
        </w:rPr>
      </w:pPr>
    </w:p>
    <w:p w14:paraId="65842132" w14:textId="283CE408" w:rsidR="002E20E3" w:rsidRPr="000113B8" w:rsidRDefault="002E20E3" w:rsidP="002E20E3">
      <w:pPr>
        <w:jc w:val="both"/>
        <w:rPr>
          <w:rFonts w:ascii="Garamond" w:hAnsi="Garamond"/>
          <w:color w:val="000000" w:themeColor="text1"/>
          <w:spacing w:val="-2"/>
          <w:lang w:val="es-CO"/>
        </w:rPr>
      </w:pPr>
      <w:r w:rsidRPr="000113B8">
        <w:rPr>
          <w:rFonts w:ascii="Garamond" w:hAnsi="Garamond"/>
          <w:color w:val="000000" w:themeColor="text1"/>
          <w:spacing w:val="-2"/>
          <w:lang w:val="es-CO"/>
        </w:rPr>
        <w:t xml:space="preserve">Esta necesidad adquiere especial relevancia en la localidad de Sumapaz, la cual presenta características diferenciales que incrementan significativamente el nivel de exposición al riesgo. Se trata de la única localidad 100% rural de Bogotá, con una extensión aproximada de 78.095,2 hectáreas, caracterizada por una alta dispersión geográfica, largos tiempos de desplazamiento, limitaciones en infraestructura y conectividad, así como condiciones climáticas y ambientales propias de ecosistemas de páramo. Estas circunstancias configuran un entorno de mayor vulnerabilidad para el desarrollo de las funciones de los ediles, lo que hace indispensable la implementación de mecanismos de protección adecuados, como lo es la contratación de </w:t>
      </w:r>
      <w:r w:rsidR="00464F22" w:rsidRPr="000113B8">
        <w:rPr>
          <w:rFonts w:ascii="Garamond" w:hAnsi="Garamond"/>
          <w:color w:val="000000" w:themeColor="text1"/>
          <w:spacing w:val="-2"/>
          <w:lang w:val="es-CO"/>
        </w:rPr>
        <w:t xml:space="preserve">la póliza </w:t>
      </w:r>
      <w:r w:rsidRPr="000113B8">
        <w:rPr>
          <w:rFonts w:ascii="Garamond" w:hAnsi="Garamond"/>
          <w:color w:val="000000" w:themeColor="text1"/>
          <w:spacing w:val="-2"/>
          <w:lang w:val="es-CO"/>
        </w:rPr>
        <w:t>de vida.</w:t>
      </w:r>
    </w:p>
    <w:p w14:paraId="18FA79B8" w14:textId="77777777" w:rsidR="002E20E3" w:rsidRPr="000113B8" w:rsidRDefault="002E20E3" w:rsidP="002E20E3">
      <w:pPr>
        <w:jc w:val="both"/>
        <w:rPr>
          <w:rFonts w:ascii="Garamond" w:hAnsi="Garamond"/>
          <w:color w:val="000000" w:themeColor="text1"/>
          <w:spacing w:val="-2"/>
          <w:lang w:val="es-CO"/>
        </w:rPr>
      </w:pPr>
    </w:p>
    <w:p w14:paraId="5C1C59AA" w14:textId="77777777" w:rsidR="002E20E3" w:rsidRPr="000113B8" w:rsidRDefault="002E20E3" w:rsidP="002E20E3">
      <w:pPr>
        <w:jc w:val="both"/>
        <w:rPr>
          <w:rFonts w:ascii="Garamond" w:hAnsi="Garamond"/>
          <w:color w:val="000000" w:themeColor="text1"/>
          <w:spacing w:val="-2"/>
          <w:lang w:val="es-CO"/>
        </w:rPr>
      </w:pPr>
      <w:r w:rsidRPr="000113B8">
        <w:rPr>
          <w:rFonts w:ascii="Garamond" w:hAnsi="Garamond"/>
          <w:color w:val="000000" w:themeColor="text1"/>
          <w:spacing w:val="-2"/>
          <w:lang w:val="es-CO"/>
        </w:rPr>
        <w:t>En este contexto, el proceso contractual se enmarca en las funciones asignadas a las Alcaldías Locales, orientadas a garantizar la gobernabilidad, la participación ciudadana y el fortalecimiento de la democracia, en concordancia con lo dispuesto en el Acuerdo Distrital 637 de 2016 y los Decretos Distritales 411 de 2016 y 099 de 2019. De esta manera, la contratación se consolida como una herramienta necesaria para proteger el talento humano y asegurar el cumplimiento de los fines esenciales del Estado.</w:t>
      </w:r>
    </w:p>
    <w:p w14:paraId="46A8B615" w14:textId="77777777" w:rsidR="002E20E3" w:rsidRPr="000113B8" w:rsidRDefault="002E20E3" w:rsidP="002E20E3">
      <w:pPr>
        <w:jc w:val="both"/>
        <w:rPr>
          <w:rFonts w:ascii="Garamond" w:hAnsi="Garamond"/>
          <w:color w:val="000000" w:themeColor="text1"/>
          <w:spacing w:val="-2"/>
          <w:lang w:val="es-CO"/>
        </w:rPr>
      </w:pPr>
    </w:p>
    <w:p w14:paraId="515E2FF9" w14:textId="77777777" w:rsidR="002E20E3" w:rsidRPr="000113B8" w:rsidRDefault="002E20E3" w:rsidP="002E20E3">
      <w:pPr>
        <w:jc w:val="both"/>
        <w:rPr>
          <w:rFonts w:ascii="Garamond" w:hAnsi="Garamond"/>
          <w:color w:val="000000" w:themeColor="text1"/>
          <w:spacing w:val="-2"/>
          <w:lang w:val="es-CO"/>
        </w:rPr>
      </w:pPr>
      <w:r w:rsidRPr="000113B8">
        <w:rPr>
          <w:rFonts w:ascii="Garamond" w:hAnsi="Garamond"/>
          <w:color w:val="000000" w:themeColor="text1"/>
          <w:spacing w:val="-2"/>
          <w:lang w:val="es-CO"/>
        </w:rPr>
        <w:t xml:space="preserve">Ahora bien, el análisis técnico del proceso permite identificar tanto factores favorables como limitantes. En términos positivos, la contratación de la póliza de vida proporciona una protección integral a los ediles, al garantizar respaldo económico ante eventos de fallecimiento o incapacidad, lo cual fortalece la seguridad en el ejercicio de sus funciones. Asimismo, contribuye a la estabilidad financiera de la entidad, al prevenir contingencias </w:t>
      </w:r>
      <w:r w:rsidRPr="000113B8">
        <w:rPr>
          <w:rFonts w:ascii="Garamond" w:hAnsi="Garamond"/>
          <w:color w:val="000000" w:themeColor="text1"/>
          <w:spacing w:val="-2"/>
          <w:lang w:val="es-CO"/>
        </w:rPr>
        <w:lastRenderedPageBreak/>
        <w:t>presupuestales y proteger el patrimonio público. Igualmente, el proceso se alinea con el cumplimiento de las disposiciones normativas en materia de protección de derechos y se ajusta a las condiciones territoriales, permitiendo estructurar coberturas acordes con el nivel de riesgo existente en Sumapaz.</w:t>
      </w:r>
    </w:p>
    <w:p w14:paraId="25635653" w14:textId="77777777" w:rsidR="002E20E3" w:rsidRPr="000113B8" w:rsidRDefault="002E20E3" w:rsidP="002E20E3">
      <w:pPr>
        <w:jc w:val="both"/>
        <w:rPr>
          <w:rFonts w:ascii="Garamond" w:hAnsi="Garamond"/>
          <w:color w:val="000000" w:themeColor="text1"/>
          <w:spacing w:val="-2"/>
          <w:lang w:val="es-CO"/>
        </w:rPr>
      </w:pPr>
    </w:p>
    <w:p w14:paraId="6EF37315" w14:textId="2BBFF89F" w:rsidR="002E20E3" w:rsidRPr="000113B8" w:rsidRDefault="002E20E3" w:rsidP="002E20E3">
      <w:pPr>
        <w:jc w:val="both"/>
        <w:rPr>
          <w:rFonts w:ascii="Garamond" w:hAnsi="Garamond"/>
          <w:color w:val="000000" w:themeColor="text1"/>
          <w:spacing w:val="-2"/>
          <w:lang w:val="es-CO"/>
        </w:rPr>
      </w:pPr>
      <w:r w:rsidRPr="000113B8">
        <w:rPr>
          <w:rFonts w:ascii="Garamond" w:hAnsi="Garamond"/>
          <w:color w:val="000000" w:themeColor="text1"/>
          <w:spacing w:val="-2"/>
          <w:lang w:val="es-CO"/>
        </w:rPr>
        <w:t>No obstante, también se evidencian factores limitantes que deben ser considerados en la estructuración del proceso. Entre ellos se encuentra la incertidumbre en la determinación de costos, derivada del régimen de libertad tarifaria del mercado asegurador</w:t>
      </w:r>
      <w:r w:rsidR="009C64A6" w:rsidRPr="000113B8">
        <w:rPr>
          <w:rFonts w:ascii="Garamond" w:hAnsi="Garamond"/>
          <w:color w:val="000000" w:themeColor="text1"/>
          <w:spacing w:val="-2"/>
          <w:lang w:val="es-CO"/>
        </w:rPr>
        <w:t xml:space="preserve"> y</w:t>
      </w:r>
      <w:r w:rsidRPr="000113B8">
        <w:rPr>
          <w:rFonts w:ascii="Garamond" w:hAnsi="Garamond"/>
          <w:color w:val="000000" w:themeColor="text1"/>
          <w:spacing w:val="-2"/>
          <w:lang w:val="es-CO"/>
        </w:rPr>
        <w:t xml:space="preserve"> la asimetría de información, dado que las aseguradoras manejan con reserva sus condiciones técnicas y económicas; la mayor percepción de riesgo asociada al territorio, que puede traducirse en primas más elevadas o restricciones en las coberturas; y las limitaciones presupuestales, que obligan a priorizar las coberturas esenciales para garantizar la protección mínima requerida.</w:t>
      </w:r>
    </w:p>
    <w:p w14:paraId="0C92F108" w14:textId="77777777" w:rsidR="002E20E3" w:rsidRPr="000113B8" w:rsidRDefault="002E20E3" w:rsidP="002E20E3">
      <w:pPr>
        <w:jc w:val="both"/>
        <w:rPr>
          <w:rFonts w:ascii="Garamond" w:hAnsi="Garamond"/>
          <w:color w:val="000000" w:themeColor="text1"/>
          <w:spacing w:val="-2"/>
          <w:lang w:val="es-CO"/>
        </w:rPr>
      </w:pPr>
    </w:p>
    <w:p w14:paraId="7C3571E1" w14:textId="2D6B40C9" w:rsidR="002E20E3" w:rsidRPr="000113B8" w:rsidRDefault="002E20E3" w:rsidP="002E20E3">
      <w:pPr>
        <w:jc w:val="both"/>
        <w:rPr>
          <w:rFonts w:ascii="Garamond" w:hAnsi="Garamond"/>
          <w:color w:val="000000" w:themeColor="text1"/>
          <w:spacing w:val="-2"/>
          <w:lang w:val="es-CO"/>
        </w:rPr>
      </w:pPr>
      <w:r w:rsidRPr="000113B8">
        <w:rPr>
          <w:rFonts w:ascii="Garamond" w:hAnsi="Garamond"/>
          <w:color w:val="000000" w:themeColor="text1"/>
          <w:spacing w:val="-2"/>
          <w:lang w:val="es-CO"/>
        </w:rPr>
        <w:t>En relación con el comportamiento del mercado, es importante señalar que el sector asegurador colombiano opera bajo un esquema de libertad tarifaria, establecido por la Ley 45 de 1990, lo que implica que las primas no son fijadas por el Estado, sino que se determinan con base en variables técnicas, financieras y actuariales. Entre estas se destacan el perfil de riesgo del grupo asegurado, la experiencia siniestral, las políticas de suscripción, las coberturas requeridas y los costos administrativos. Como resultado, el mercado presenta una alta variabilidad en las ofertas y una limitada disponibilidad de información en etapas previas, por lo que los estudios de mercado tienen un carácter referencial, siendo el proceso de selección el escenario en el cual se definen las condiciones finales del contrato.</w:t>
      </w:r>
    </w:p>
    <w:p w14:paraId="295ECADD" w14:textId="77777777" w:rsidR="002E20E3" w:rsidRPr="000113B8" w:rsidRDefault="002E20E3" w:rsidP="002E20E3">
      <w:pPr>
        <w:jc w:val="both"/>
        <w:rPr>
          <w:rFonts w:ascii="Garamond" w:hAnsi="Garamond"/>
          <w:color w:val="000000" w:themeColor="text1"/>
          <w:spacing w:val="-2"/>
          <w:lang w:val="es-CO"/>
        </w:rPr>
      </w:pPr>
    </w:p>
    <w:p w14:paraId="34993928" w14:textId="685A5C62" w:rsidR="002E20E3" w:rsidRPr="000113B8" w:rsidRDefault="002E20E3" w:rsidP="002E20E3">
      <w:pPr>
        <w:jc w:val="both"/>
        <w:rPr>
          <w:rFonts w:ascii="Garamond" w:hAnsi="Garamond"/>
          <w:color w:val="000000" w:themeColor="text1"/>
          <w:spacing w:val="-2"/>
          <w:lang w:val="es-CO"/>
        </w:rPr>
      </w:pPr>
      <w:r w:rsidRPr="000113B8">
        <w:rPr>
          <w:rFonts w:ascii="Garamond" w:hAnsi="Garamond"/>
          <w:color w:val="000000" w:themeColor="text1"/>
          <w:spacing w:val="-2"/>
          <w:lang w:val="es-CO"/>
        </w:rPr>
        <w:t xml:space="preserve">Adicionalmente, el análisis territorial evidencia que las condiciones propias de Sumapaz inciden de manera directa en la estructuración </w:t>
      </w:r>
      <w:r w:rsidR="00C62247" w:rsidRPr="000113B8">
        <w:rPr>
          <w:rFonts w:ascii="Garamond" w:hAnsi="Garamond"/>
          <w:color w:val="000000" w:themeColor="text1"/>
          <w:spacing w:val="-2"/>
          <w:lang w:val="es-CO"/>
        </w:rPr>
        <w:t>del seguro</w:t>
      </w:r>
      <w:r w:rsidRPr="000113B8">
        <w:rPr>
          <w:rFonts w:ascii="Garamond" w:hAnsi="Garamond"/>
          <w:color w:val="000000" w:themeColor="text1"/>
          <w:spacing w:val="-2"/>
          <w:lang w:val="es-CO"/>
        </w:rPr>
        <w:t>, al configurar un perfil de riesgo superior al de contextos urbanos. La ruralidad, la dispersión poblacional, las dificultades de acceso y las condiciones ambientales incrementan la probabilidad de ocurrencia de eventos adversos y dificultan la atención oportuna de emergencias. En este sentido, el diseño del programa de seguros debe contemplar: (i) la definición de amparos adecuados al riesgo real, (</w:t>
      </w:r>
      <w:proofErr w:type="spellStart"/>
      <w:r w:rsidRPr="000113B8">
        <w:rPr>
          <w:rFonts w:ascii="Garamond" w:hAnsi="Garamond"/>
          <w:color w:val="000000" w:themeColor="text1"/>
          <w:spacing w:val="-2"/>
          <w:lang w:val="es-CO"/>
        </w:rPr>
        <w:t>ii</w:t>
      </w:r>
      <w:proofErr w:type="spellEnd"/>
      <w:r w:rsidRPr="000113B8">
        <w:rPr>
          <w:rFonts w:ascii="Garamond" w:hAnsi="Garamond"/>
          <w:color w:val="000000" w:themeColor="text1"/>
          <w:spacing w:val="-2"/>
          <w:lang w:val="es-CO"/>
        </w:rPr>
        <w:t>) la inclusión de coberturas específicas asociadas a las condiciones del territorio y (</w:t>
      </w:r>
      <w:proofErr w:type="spellStart"/>
      <w:r w:rsidRPr="000113B8">
        <w:rPr>
          <w:rFonts w:ascii="Garamond" w:hAnsi="Garamond"/>
          <w:color w:val="000000" w:themeColor="text1"/>
          <w:spacing w:val="-2"/>
          <w:lang w:val="es-CO"/>
        </w:rPr>
        <w:t>iii</w:t>
      </w:r>
      <w:proofErr w:type="spellEnd"/>
      <w:r w:rsidRPr="000113B8">
        <w:rPr>
          <w:rFonts w:ascii="Garamond" w:hAnsi="Garamond"/>
          <w:color w:val="000000" w:themeColor="text1"/>
          <w:spacing w:val="-2"/>
          <w:lang w:val="es-CO"/>
        </w:rPr>
        <w:t>) una valoración actuarial ajustada que permita estimar de manera precisa el costo del aseguramiento.</w:t>
      </w:r>
    </w:p>
    <w:p w14:paraId="75328833" w14:textId="77777777" w:rsidR="002E20E3" w:rsidRPr="000113B8" w:rsidRDefault="002E20E3" w:rsidP="002E20E3">
      <w:pPr>
        <w:jc w:val="both"/>
        <w:rPr>
          <w:rFonts w:ascii="Garamond" w:hAnsi="Garamond"/>
          <w:color w:val="000000" w:themeColor="text1"/>
          <w:spacing w:val="-2"/>
          <w:lang w:val="es-CO"/>
        </w:rPr>
      </w:pPr>
    </w:p>
    <w:p w14:paraId="2E9FF01C" w14:textId="77777777" w:rsidR="002E20E3" w:rsidRPr="000113B8" w:rsidRDefault="002E20E3" w:rsidP="002E20E3">
      <w:pPr>
        <w:jc w:val="both"/>
        <w:rPr>
          <w:rFonts w:ascii="Garamond" w:hAnsi="Garamond"/>
          <w:color w:val="000000" w:themeColor="text1"/>
          <w:spacing w:val="-2"/>
          <w:lang w:val="es-CO"/>
        </w:rPr>
      </w:pPr>
      <w:r w:rsidRPr="000113B8">
        <w:rPr>
          <w:rFonts w:ascii="Garamond" w:hAnsi="Garamond"/>
          <w:color w:val="000000" w:themeColor="text1"/>
          <w:spacing w:val="-2"/>
          <w:lang w:val="es-CO"/>
        </w:rPr>
        <w:t>En síntesis, la contratación de la póliza de vida para los ediles de la Junta Administradora Local de Sumapaz constituye una necesidad técnica, financiera y administrativa plenamente justificada, en la medida en que permite gestionar de manera eficiente los riesgos asociados al ejercicio de funciones públicas en un territorio con condiciones excepcionales de ruralidad y vulnerabilidad.</w:t>
      </w:r>
    </w:p>
    <w:p w14:paraId="48CB2515" w14:textId="77777777" w:rsidR="002E20E3" w:rsidRPr="000113B8" w:rsidRDefault="002E20E3" w:rsidP="002E20E3">
      <w:pPr>
        <w:jc w:val="both"/>
        <w:rPr>
          <w:rFonts w:ascii="Garamond" w:hAnsi="Garamond"/>
          <w:color w:val="000000" w:themeColor="text1"/>
          <w:spacing w:val="-2"/>
          <w:lang w:val="es-CO"/>
        </w:rPr>
      </w:pPr>
    </w:p>
    <w:p w14:paraId="345A7856" w14:textId="65041EC8" w:rsidR="002E20E3" w:rsidRPr="000113B8" w:rsidRDefault="002E20E3" w:rsidP="002E20E3">
      <w:pPr>
        <w:jc w:val="both"/>
        <w:rPr>
          <w:rFonts w:ascii="Garamond" w:hAnsi="Garamond"/>
          <w:color w:val="000000" w:themeColor="text1"/>
          <w:spacing w:val="-2"/>
          <w:lang w:val="es-CO"/>
        </w:rPr>
      </w:pPr>
      <w:r w:rsidRPr="000113B8">
        <w:rPr>
          <w:rFonts w:ascii="Garamond" w:hAnsi="Garamond"/>
          <w:color w:val="000000" w:themeColor="text1"/>
          <w:spacing w:val="-2"/>
          <w:lang w:val="es-CO"/>
        </w:rPr>
        <w:t xml:space="preserve">La adecuada estructuración </w:t>
      </w:r>
      <w:r w:rsidR="00C62247" w:rsidRPr="000113B8">
        <w:rPr>
          <w:rFonts w:ascii="Garamond" w:hAnsi="Garamond"/>
          <w:color w:val="000000" w:themeColor="text1"/>
          <w:spacing w:val="-2"/>
          <w:lang w:val="es-CO"/>
        </w:rPr>
        <w:t>de</w:t>
      </w:r>
      <w:r w:rsidR="00C633C2" w:rsidRPr="000113B8">
        <w:rPr>
          <w:rFonts w:ascii="Garamond" w:hAnsi="Garamond"/>
          <w:color w:val="000000" w:themeColor="text1"/>
          <w:spacing w:val="-2"/>
          <w:lang w:val="es-CO"/>
        </w:rPr>
        <w:t xml:space="preserve"> </w:t>
      </w:r>
      <w:r w:rsidR="00C62247" w:rsidRPr="000113B8">
        <w:rPr>
          <w:rFonts w:ascii="Garamond" w:hAnsi="Garamond"/>
          <w:color w:val="000000" w:themeColor="text1"/>
          <w:spacing w:val="-2"/>
          <w:lang w:val="es-CO"/>
        </w:rPr>
        <w:t>l</w:t>
      </w:r>
      <w:r w:rsidR="00C633C2" w:rsidRPr="000113B8">
        <w:rPr>
          <w:rFonts w:ascii="Garamond" w:hAnsi="Garamond"/>
          <w:color w:val="000000" w:themeColor="text1"/>
          <w:spacing w:val="-2"/>
          <w:lang w:val="es-CO"/>
        </w:rPr>
        <w:t>as condiciones del</w:t>
      </w:r>
      <w:r w:rsidR="00C62247" w:rsidRPr="000113B8">
        <w:rPr>
          <w:rFonts w:ascii="Garamond" w:hAnsi="Garamond"/>
          <w:color w:val="000000" w:themeColor="text1"/>
          <w:spacing w:val="-2"/>
          <w:lang w:val="es-CO"/>
        </w:rPr>
        <w:t xml:space="preserve"> seguro</w:t>
      </w:r>
      <w:r w:rsidRPr="000113B8">
        <w:rPr>
          <w:rFonts w:ascii="Garamond" w:hAnsi="Garamond"/>
          <w:color w:val="000000" w:themeColor="text1"/>
          <w:spacing w:val="-2"/>
          <w:lang w:val="es-CO"/>
        </w:rPr>
        <w:t>, basad</w:t>
      </w:r>
      <w:r w:rsidR="00C62247" w:rsidRPr="000113B8">
        <w:rPr>
          <w:rFonts w:ascii="Garamond" w:hAnsi="Garamond"/>
          <w:color w:val="000000" w:themeColor="text1"/>
          <w:spacing w:val="-2"/>
          <w:lang w:val="es-CO"/>
        </w:rPr>
        <w:t xml:space="preserve">o </w:t>
      </w:r>
      <w:r w:rsidRPr="000113B8">
        <w:rPr>
          <w:rFonts w:ascii="Garamond" w:hAnsi="Garamond"/>
          <w:color w:val="000000" w:themeColor="text1"/>
          <w:spacing w:val="-2"/>
          <w:lang w:val="es-CO"/>
        </w:rPr>
        <w:t>en criterios técnicos, en el análisis del mercado y en las particularidades territoriales, garantiza no solo la protección de los ediles, sino también la sostenibilidad financiera de la entidad y el cumplimiento de sus funciones misionales. En este sentido, el proceso contractual se consolida como un instrumento clave para fortalecer la gestión pública, promover la seguridad institucional y asegurar la continuidad en la prestación de los servicios a la comunidad.</w:t>
      </w:r>
    </w:p>
    <w:p w14:paraId="4D779FDC" w14:textId="77777777" w:rsidR="00A502A1" w:rsidRPr="000113B8" w:rsidRDefault="00A502A1" w:rsidP="002E20E3">
      <w:pPr>
        <w:jc w:val="both"/>
        <w:rPr>
          <w:rFonts w:ascii="Garamond" w:hAnsi="Garamond"/>
          <w:color w:val="000000" w:themeColor="text1"/>
          <w:spacing w:val="-2"/>
          <w:lang w:val="es-CO"/>
        </w:rPr>
      </w:pPr>
    </w:p>
    <w:p w14:paraId="5620C09E" w14:textId="794BBE60" w:rsidR="00A502A1" w:rsidRPr="000113B8" w:rsidRDefault="00A502A1" w:rsidP="00C54B99">
      <w:pPr>
        <w:pStyle w:val="Prrafodelista"/>
        <w:widowControl/>
        <w:numPr>
          <w:ilvl w:val="0"/>
          <w:numId w:val="2"/>
        </w:numPr>
        <w:autoSpaceDE/>
        <w:autoSpaceDN/>
        <w:spacing w:after="200"/>
        <w:contextualSpacing/>
        <w:jc w:val="both"/>
        <w:rPr>
          <w:rFonts w:ascii="Garamond" w:hAnsi="Garamond"/>
          <w:b/>
          <w:bCs/>
          <w:color w:val="000000" w:themeColor="text1"/>
        </w:rPr>
      </w:pPr>
      <w:r w:rsidRPr="000113B8">
        <w:rPr>
          <w:rFonts w:ascii="Garamond" w:hAnsi="Garamond"/>
          <w:b/>
          <w:bCs/>
          <w:color w:val="000000" w:themeColor="text1"/>
        </w:rPr>
        <w:t>CONTEXTO REGULATORIO</w:t>
      </w:r>
    </w:p>
    <w:p w14:paraId="418A42EE" w14:textId="3F5D706D" w:rsidR="00A502A1" w:rsidRDefault="00A502A1" w:rsidP="00A502A1">
      <w:pPr>
        <w:jc w:val="both"/>
        <w:rPr>
          <w:rFonts w:ascii="Garamond" w:hAnsi="Garamond"/>
          <w:i/>
          <w:iCs/>
          <w:color w:val="000000" w:themeColor="text1"/>
        </w:rPr>
      </w:pPr>
      <w:r w:rsidRPr="000113B8">
        <w:rPr>
          <w:rFonts w:ascii="Garamond" w:hAnsi="Garamond"/>
          <w:color w:val="000000" w:themeColor="text1"/>
        </w:rPr>
        <w:t xml:space="preserve">El artículo 2° de la Constitución Política de Colombia, establece que son fines esenciales del Estado: </w:t>
      </w:r>
      <w:r w:rsidRPr="000113B8">
        <w:rPr>
          <w:rFonts w:ascii="Garamond" w:hAnsi="Garamond"/>
          <w:i/>
          <w:iCs/>
          <w:color w:val="000000" w:themeColor="text1"/>
        </w:rPr>
        <w:t>“servir a la comunidad, promover la prosperidad general y garantizar la efectividad de los principios, derechos y deberes consagrados en la Constitución, entre otros”.</w:t>
      </w:r>
      <w:r w:rsidR="009A35ED">
        <w:rPr>
          <w:rFonts w:ascii="Garamond" w:hAnsi="Garamond"/>
          <w:i/>
          <w:iCs/>
          <w:color w:val="000000" w:themeColor="text1"/>
        </w:rPr>
        <w:t xml:space="preserve"> </w:t>
      </w:r>
    </w:p>
    <w:p w14:paraId="04080F44" w14:textId="77777777" w:rsidR="00A502A1" w:rsidRPr="000113B8" w:rsidRDefault="00A502A1" w:rsidP="00A502A1">
      <w:pPr>
        <w:jc w:val="both"/>
        <w:rPr>
          <w:rFonts w:ascii="Garamond" w:hAnsi="Garamond"/>
          <w:color w:val="000000" w:themeColor="text1"/>
        </w:rPr>
      </w:pPr>
    </w:p>
    <w:p w14:paraId="443E5AA0" w14:textId="77777777" w:rsidR="00A502A1" w:rsidRPr="000113B8" w:rsidRDefault="00A502A1" w:rsidP="00A502A1">
      <w:pPr>
        <w:jc w:val="both"/>
        <w:rPr>
          <w:rFonts w:ascii="Garamond" w:hAnsi="Garamond"/>
          <w:color w:val="000000" w:themeColor="text1"/>
        </w:rPr>
      </w:pPr>
      <w:r w:rsidRPr="000113B8">
        <w:rPr>
          <w:rFonts w:ascii="Garamond" w:hAnsi="Garamond"/>
          <w:color w:val="000000" w:themeColor="text1"/>
        </w:rPr>
        <w:t>Teniendo en cuenta lo anterior, es obligación de las Entidades del Estado asegurar sus intereses patrimoniales, a través de la celebración de contratos de seguros, en aras de proteger su patrimonio contra la mayor cantidad de riesgos a los cuales se encuentra expuesto.</w:t>
      </w:r>
    </w:p>
    <w:p w14:paraId="27278B70" w14:textId="77777777" w:rsidR="00A502A1" w:rsidRPr="000113B8" w:rsidRDefault="00A502A1" w:rsidP="00A502A1">
      <w:pPr>
        <w:pStyle w:val="Prrafodelista"/>
        <w:rPr>
          <w:rFonts w:ascii="Garamond" w:hAnsi="Garamond"/>
          <w:color w:val="000000" w:themeColor="text1"/>
        </w:rPr>
      </w:pPr>
    </w:p>
    <w:p w14:paraId="331CFCF6" w14:textId="59628CB8" w:rsidR="00A502A1" w:rsidRPr="000113B8" w:rsidRDefault="00A502A1" w:rsidP="00C54B99">
      <w:pPr>
        <w:pStyle w:val="Prrafodelista"/>
        <w:widowControl/>
        <w:numPr>
          <w:ilvl w:val="1"/>
          <w:numId w:val="2"/>
        </w:numPr>
        <w:autoSpaceDE/>
        <w:autoSpaceDN/>
        <w:spacing w:after="200"/>
        <w:contextualSpacing/>
        <w:jc w:val="both"/>
        <w:rPr>
          <w:rFonts w:ascii="Garamond" w:hAnsi="Garamond" w:cs="Arial"/>
          <w:b/>
          <w:bCs/>
          <w:color w:val="000000" w:themeColor="text1"/>
          <w:lang w:val="es-MX"/>
        </w:rPr>
      </w:pPr>
      <w:r w:rsidRPr="000113B8">
        <w:rPr>
          <w:rFonts w:ascii="Garamond" w:hAnsi="Garamond" w:cs="Arial"/>
          <w:b/>
          <w:bCs/>
          <w:color w:val="000000" w:themeColor="text1"/>
          <w:lang w:val="es-MX"/>
        </w:rPr>
        <w:t>Naturaleza del sector</w:t>
      </w:r>
    </w:p>
    <w:p w14:paraId="7A2148D3" w14:textId="77777777" w:rsidR="00A502A1" w:rsidRPr="000113B8" w:rsidRDefault="00A502A1" w:rsidP="00A502A1">
      <w:pPr>
        <w:jc w:val="both"/>
        <w:rPr>
          <w:rFonts w:ascii="Garamond" w:eastAsia="Batang" w:hAnsi="Garamond" w:cs="Arial"/>
          <w:color w:val="000000" w:themeColor="text1"/>
        </w:rPr>
      </w:pPr>
      <w:r w:rsidRPr="000113B8">
        <w:rPr>
          <w:rFonts w:ascii="Garamond" w:eastAsia="Batang" w:hAnsi="Garamond" w:cs="Arial"/>
          <w:color w:val="000000" w:themeColor="text1"/>
        </w:rPr>
        <w:t xml:space="preserve">La naturaleza del sector seguros se basa en el principio de transferencia y gestión de riesgos y consiste en el </w:t>
      </w:r>
      <w:r w:rsidRPr="000113B8">
        <w:rPr>
          <w:rFonts w:ascii="Garamond" w:eastAsia="Batang" w:hAnsi="Garamond" w:cs="Arial"/>
          <w:color w:val="000000" w:themeColor="text1"/>
        </w:rPr>
        <w:lastRenderedPageBreak/>
        <w:t xml:space="preserve">mecanismo a través del cual una </w:t>
      </w:r>
      <w:r w:rsidRPr="000113B8">
        <w:rPr>
          <w:rFonts w:ascii="Garamond" w:eastAsia="Batang" w:hAnsi="Garamond" w:cs="Arial"/>
          <w:color w:val="000000" w:themeColor="text1"/>
          <w:lang w:val="es-MX"/>
        </w:rPr>
        <w:t>Compañía de seguros a través del pago de una prima se compromete a indemnizar al asegurado por las pérdidas que se encuentren amparadas en una póliza de seguros, es decir, que es un negocio jurídico denominado contrato de seguro, por medio del cual se cumple una función indemnizatoria y financiera la cual está fundamentada en la</w:t>
      </w:r>
      <w:r w:rsidRPr="000113B8">
        <w:rPr>
          <w:rFonts w:ascii="Garamond" w:eastAsia="Batang" w:hAnsi="Garamond" w:cs="Arial"/>
          <w:color w:val="000000" w:themeColor="text1"/>
        </w:rPr>
        <w:t xml:space="preserve"> previsión, la estabilidad y la solidaridad, operando como un mercado libre y regulado donde se captan recursos y se forman reservas para garantizar el pago de obligaciones futuras e inciertas en caso de la materialización del riesgo, es decir, el siniestro.</w:t>
      </w:r>
    </w:p>
    <w:p w14:paraId="69F3B039" w14:textId="77777777" w:rsidR="00A502A1" w:rsidRPr="000113B8" w:rsidRDefault="00A502A1" w:rsidP="00A502A1">
      <w:pPr>
        <w:jc w:val="both"/>
        <w:rPr>
          <w:rFonts w:ascii="Garamond" w:eastAsia="Batang" w:hAnsi="Garamond" w:cs="Arial"/>
          <w:color w:val="000000" w:themeColor="text1"/>
        </w:rPr>
      </w:pPr>
    </w:p>
    <w:p w14:paraId="44BC785D" w14:textId="77777777" w:rsidR="00A502A1" w:rsidRPr="000113B8" w:rsidRDefault="00A502A1" w:rsidP="00C54B99">
      <w:pPr>
        <w:pStyle w:val="Prrafodelista"/>
        <w:widowControl/>
        <w:numPr>
          <w:ilvl w:val="0"/>
          <w:numId w:val="18"/>
        </w:numPr>
        <w:autoSpaceDE/>
        <w:autoSpaceDN/>
        <w:spacing w:before="0" w:after="200"/>
        <w:contextualSpacing/>
        <w:jc w:val="both"/>
        <w:rPr>
          <w:rFonts w:ascii="Garamond" w:hAnsi="Garamond"/>
          <w:b/>
          <w:color w:val="000000" w:themeColor="text1"/>
        </w:rPr>
      </w:pPr>
      <w:bookmarkStart w:id="11" w:name="_Toc41048554"/>
      <w:r w:rsidRPr="000113B8">
        <w:rPr>
          <w:rFonts w:ascii="Garamond" w:hAnsi="Garamond"/>
          <w:b/>
          <w:color w:val="000000" w:themeColor="text1"/>
        </w:rPr>
        <w:t>El Contrato de Seguro</w:t>
      </w:r>
      <w:bookmarkEnd w:id="11"/>
    </w:p>
    <w:p w14:paraId="0D6252B8" w14:textId="77777777" w:rsidR="00A502A1" w:rsidRPr="009A35ED" w:rsidRDefault="00A502A1" w:rsidP="00A502A1">
      <w:pPr>
        <w:jc w:val="both"/>
        <w:rPr>
          <w:rFonts w:ascii="Garamond" w:hAnsi="Garamond"/>
          <w:i/>
          <w:color w:val="000000" w:themeColor="text1"/>
        </w:rPr>
      </w:pPr>
      <w:r w:rsidRPr="000113B8">
        <w:rPr>
          <w:rFonts w:ascii="Garamond" w:hAnsi="Garamond"/>
          <w:color w:val="000000" w:themeColor="text1"/>
        </w:rPr>
        <w:t>Está regulado por el Código de Comercio en el Título V, Capítulo I- Principios Comunes a los Seguros Terrestres, Capítulo II – Seguros de Daños y Capítulo III Seguros de Personas, Artículo 1036 y ss. Lo define este artículo así</w:t>
      </w:r>
      <w:r w:rsidRPr="009A35ED">
        <w:rPr>
          <w:rFonts w:ascii="Garamond" w:hAnsi="Garamond"/>
          <w:i/>
          <w:color w:val="000000" w:themeColor="text1"/>
        </w:rPr>
        <w:t>: “El seguro es un contrato consensual, bilateral, oneroso, aleatorio y de ejecución sucesiva”.</w:t>
      </w:r>
    </w:p>
    <w:p w14:paraId="100C0289" w14:textId="77777777" w:rsidR="00A502A1" w:rsidRPr="000113B8" w:rsidRDefault="00A502A1" w:rsidP="00A502A1">
      <w:pPr>
        <w:jc w:val="both"/>
        <w:rPr>
          <w:rFonts w:ascii="Garamond" w:hAnsi="Garamond"/>
          <w:color w:val="000000" w:themeColor="text1"/>
        </w:rPr>
      </w:pPr>
    </w:p>
    <w:p w14:paraId="37CA0342" w14:textId="77777777" w:rsidR="00A502A1" w:rsidRPr="000113B8" w:rsidRDefault="00A502A1" w:rsidP="00A502A1">
      <w:pPr>
        <w:jc w:val="both"/>
        <w:rPr>
          <w:rFonts w:ascii="Garamond" w:hAnsi="Garamond"/>
          <w:color w:val="000000" w:themeColor="text1"/>
        </w:rPr>
      </w:pPr>
      <w:r w:rsidRPr="000113B8">
        <w:rPr>
          <w:rFonts w:ascii="Garamond" w:hAnsi="Garamond"/>
          <w:color w:val="000000" w:themeColor="text1"/>
        </w:rPr>
        <w:t>Se complementa esta normatividad con la emitida por la Superintendencia Financiera, Entidad que regula la actividad de las Compañías Aseguradoras y de los Intermediarios de Seguros. Igualmente, debe tenerse presente, las normas que expide el Congreso de la República en materia de intermediación financiera, actividad aseguradora y otras disposiciones.</w:t>
      </w:r>
    </w:p>
    <w:p w14:paraId="5BEBCB60" w14:textId="77777777" w:rsidR="00A502A1" w:rsidRPr="000113B8" w:rsidRDefault="00A502A1" w:rsidP="00A502A1">
      <w:pPr>
        <w:jc w:val="both"/>
        <w:rPr>
          <w:rFonts w:ascii="Garamond" w:hAnsi="Garamond"/>
          <w:color w:val="000000" w:themeColor="text1"/>
        </w:rPr>
      </w:pPr>
    </w:p>
    <w:p w14:paraId="7FE5F7E4" w14:textId="77777777" w:rsidR="00A502A1" w:rsidRPr="000113B8" w:rsidRDefault="00A502A1" w:rsidP="00C54B99">
      <w:pPr>
        <w:pStyle w:val="Prrafodelista"/>
        <w:widowControl/>
        <w:numPr>
          <w:ilvl w:val="0"/>
          <w:numId w:val="18"/>
        </w:numPr>
        <w:autoSpaceDE/>
        <w:autoSpaceDN/>
        <w:spacing w:before="0" w:after="200"/>
        <w:contextualSpacing/>
        <w:jc w:val="both"/>
        <w:rPr>
          <w:rFonts w:ascii="Garamond" w:hAnsi="Garamond"/>
          <w:b/>
          <w:color w:val="000000" w:themeColor="text1"/>
        </w:rPr>
      </w:pPr>
      <w:bookmarkStart w:id="12" w:name="_Toc518922178"/>
      <w:bookmarkStart w:id="13" w:name="_Toc14162594"/>
      <w:bookmarkStart w:id="14" w:name="_Toc41048555"/>
      <w:r w:rsidRPr="000113B8">
        <w:rPr>
          <w:rFonts w:ascii="Garamond" w:hAnsi="Garamond"/>
          <w:b/>
          <w:color w:val="000000" w:themeColor="text1"/>
        </w:rPr>
        <w:t>Principales Elementos Técnicos del Contrato de Seguro</w:t>
      </w:r>
      <w:bookmarkEnd w:id="12"/>
      <w:bookmarkEnd w:id="13"/>
      <w:bookmarkEnd w:id="14"/>
    </w:p>
    <w:p w14:paraId="3463D3C0" w14:textId="77777777" w:rsidR="00A502A1" w:rsidRPr="000113B8" w:rsidRDefault="00A502A1" w:rsidP="00A502A1">
      <w:pPr>
        <w:jc w:val="both"/>
        <w:rPr>
          <w:rFonts w:ascii="Garamond" w:hAnsi="Garamond"/>
          <w:color w:val="000000" w:themeColor="text1"/>
        </w:rPr>
      </w:pPr>
      <w:r w:rsidRPr="000113B8">
        <w:rPr>
          <w:rFonts w:ascii="Garamond" w:hAnsi="Garamond"/>
          <w:color w:val="000000" w:themeColor="text1"/>
        </w:rPr>
        <w:t xml:space="preserve">La función indemnizatoria del seguro permite a la sociedad enfrentar los diferentes riesgos a los que se exponen sus bienes y su patrimonio, en la medida en que los protege cuando se presentan siniestros, que son tan diversos, como diversos son los riesgos que pueden presentar. </w:t>
      </w:r>
    </w:p>
    <w:p w14:paraId="74BF3235" w14:textId="77777777" w:rsidR="00A502A1" w:rsidRPr="000113B8" w:rsidRDefault="00A502A1" w:rsidP="00A502A1">
      <w:pPr>
        <w:jc w:val="both"/>
        <w:rPr>
          <w:rFonts w:ascii="Garamond" w:hAnsi="Garamond"/>
          <w:color w:val="000000" w:themeColor="text1"/>
        </w:rPr>
      </w:pPr>
    </w:p>
    <w:p w14:paraId="65F603B4" w14:textId="0DB65573" w:rsidR="00A502A1" w:rsidRPr="000113B8" w:rsidRDefault="00A502A1" w:rsidP="00A502A1">
      <w:pPr>
        <w:jc w:val="both"/>
        <w:rPr>
          <w:rFonts w:ascii="Garamond" w:hAnsi="Garamond"/>
          <w:color w:val="000000" w:themeColor="text1"/>
        </w:rPr>
      </w:pPr>
      <w:r w:rsidRPr="000113B8">
        <w:rPr>
          <w:rFonts w:ascii="Garamond" w:hAnsi="Garamond"/>
          <w:color w:val="000000" w:themeColor="text1"/>
        </w:rPr>
        <w:t>Igualmente, el seguro apoya a las Entidades estatales en la protección sobre sus bienes y patrimonio, bien sea indemnizando los daños causados a su propiedad, o bien sea reparando a víctimas por perjuicios causados a terceros. A través de la celebración de contratos de seguros. Las Entidades Estatales buscan proteger su patrimonio</w:t>
      </w:r>
      <w:r w:rsidR="009A35ED">
        <w:rPr>
          <w:rFonts w:ascii="Garamond" w:hAnsi="Garamond"/>
          <w:color w:val="000000" w:themeColor="text1"/>
        </w:rPr>
        <w:t xml:space="preserve"> y personas</w:t>
      </w:r>
      <w:r w:rsidRPr="000113B8">
        <w:rPr>
          <w:rFonts w:ascii="Garamond" w:hAnsi="Garamond"/>
          <w:color w:val="000000" w:themeColor="text1"/>
        </w:rPr>
        <w:t xml:space="preserve"> contra la mayor cantidad de riesgos a los cuales se encuentra expuesto. Es así como los intereses patrimoniales del Fondo de Desarrollo Rural de Sumapaz, al encontrarse a una gran cantidad de riesgos que, en el evento de realizarse, producirían un detrimento al patrimonio d</w:t>
      </w:r>
      <w:r w:rsidR="009A35ED">
        <w:rPr>
          <w:rFonts w:ascii="Garamond" w:hAnsi="Garamond"/>
          <w:color w:val="000000" w:themeColor="text1"/>
        </w:rPr>
        <w:t>el fondo</w:t>
      </w:r>
      <w:r w:rsidRPr="000113B8">
        <w:rPr>
          <w:rFonts w:ascii="Garamond" w:hAnsi="Garamond"/>
          <w:color w:val="000000" w:themeColor="text1"/>
        </w:rPr>
        <w:t xml:space="preserve">, se hace necesario la contratación de seguros que protejan este patrimonio, además de cumplir con la obligación de las Entidades del Estado asegurar sus bienes e intereses patrimoniales. </w:t>
      </w:r>
    </w:p>
    <w:p w14:paraId="29F8F253" w14:textId="77777777" w:rsidR="00A502A1" w:rsidRPr="000113B8" w:rsidRDefault="00A502A1" w:rsidP="00A502A1">
      <w:pPr>
        <w:jc w:val="both"/>
        <w:rPr>
          <w:rFonts w:ascii="Garamond" w:hAnsi="Garamond"/>
          <w:color w:val="000000" w:themeColor="text1"/>
        </w:rPr>
      </w:pPr>
    </w:p>
    <w:tbl>
      <w:tblPr>
        <w:tblW w:w="8835"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133"/>
        <w:gridCol w:w="6702"/>
      </w:tblGrid>
      <w:tr w:rsidR="009A7F8F" w:rsidRPr="000113B8" w14:paraId="55DABCA6" w14:textId="77777777" w:rsidTr="00EC7684">
        <w:trPr>
          <w:jc w:val="center"/>
        </w:trPr>
        <w:tc>
          <w:tcPr>
            <w:tcW w:w="2133" w:type="dxa"/>
            <w:shd w:val="clear" w:color="auto" w:fill="F2F2F2"/>
            <w:vAlign w:val="center"/>
            <w:hideMark/>
          </w:tcPr>
          <w:p w14:paraId="4E751D23" w14:textId="77777777" w:rsidR="00A502A1" w:rsidRPr="000113B8" w:rsidRDefault="00A502A1" w:rsidP="00EC7684">
            <w:pPr>
              <w:contextualSpacing/>
              <w:jc w:val="both"/>
              <w:rPr>
                <w:rFonts w:ascii="Garamond" w:eastAsia="Batang" w:hAnsi="Garamond" w:cs="Arial"/>
                <w:b/>
                <w:bCs/>
                <w:color w:val="000000" w:themeColor="text1"/>
              </w:rPr>
            </w:pPr>
            <w:r w:rsidRPr="000113B8">
              <w:rPr>
                <w:rFonts w:ascii="Garamond" w:eastAsia="Batang" w:hAnsi="Garamond" w:cs="Arial"/>
                <w:b/>
                <w:bCs/>
                <w:color w:val="000000" w:themeColor="text1"/>
              </w:rPr>
              <w:t>Interés asegurable</w:t>
            </w:r>
          </w:p>
        </w:tc>
        <w:tc>
          <w:tcPr>
            <w:tcW w:w="6702" w:type="dxa"/>
            <w:shd w:val="clear" w:color="auto" w:fill="F2F2F2"/>
            <w:vAlign w:val="center"/>
            <w:hideMark/>
          </w:tcPr>
          <w:p w14:paraId="7DEBB063" w14:textId="77777777" w:rsidR="00A502A1" w:rsidRPr="000113B8" w:rsidRDefault="00A502A1" w:rsidP="00EC7684">
            <w:pPr>
              <w:contextualSpacing/>
              <w:jc w:val="both"/>
              <w:rPr>
                <w:rFonts w:ascii="Garamond" w:eastAsia="Batang" w:hAnsi="Garamond" w:cs="Arial"/>
                <w:color w:val="000000" w:themeColor="text1"/>
              </w:rPr>
            </w:pPr>
            <w:r w:rsidRPr="000113B8">
              <w:rPr>
                <w:rFonts w:ascii="Garamond" w:eastAsia="Batang" w:hAnsi="Garamond" w:cs="Arial"/>
                <w:color w:val="000000" w:themeColor="text1"/>
              </w:rPr>
              <w:t>Es la relación jurídico-económica que debe existir entre quien toma el seguro con lo que se asegura, sea esto una vida, un bien o el patrimonio.</w:t>
            </w:r>
          </w:p>
        </w:tc>
      </w:tr>
      <w:tr w:rsidR="009A7F8F" w:rsidRPr="000113B8" w14:paraId="24D9E8B1" w14:textId="77777777" w:rsidTr="00EC7684">
        <w:trPr>
          <w:jc w:val="center"/>
        </w:trPr>
        <w:tc>
          <w:tcPr>
            <w:tcW w:w="2133" w:type="dxa"/>
            <w:vAlign w:val="center"/>
            <w:hideMark/>
          </w:tcPr>
          <w:p w14:paraId="438421B8" w14:textId="77777777" w:rsidR="00A502A1" w:rsidRPr="000113B8" w:rsidRDefault="00A502A1" w:rsidP="00EC7684">
            <w:pPr>
              <w:contextualSpacing/>
              <w:jc w:val="both"/>
              <w:rPr>
                <w:rFonts w:ascii="Garamond" w:eastAsia="Batang" w:hAnsi="Garamond" w:cs="Arial"/>
                <w:b/>
                <w:bCs/>
                <w:color w:val="000000" w:themeColor="text1"/>
              </w:rPr>
            </w:pPr>
            <w:r w:rsidRPr="000113B8">
              <w:rPr>
                <w:rFonts w:ascii="Garamond" w:eastAsia="Batang" w:hAnsi="Garamond" w:cs="Arial"/>
                <w:b/>
                <w:bCs/>
                <w:color w:val="000000" w:themeColor="text1"/>
              </w:rPr>
              <w:t>Riesgo asegurable</w:t>
            </w:r>
          </w:p>
        </w:tc>
        <w:tc>
          <w:tcPr>
            <w:tcW w:w="6702" w:type="dxa"/>
            <w:vAlign w:val="center"/>
            <w:hideMark/>
          </w:tcPr>
          <w:p w14:paraId="3F0E5B86" w14:textId="77777777" w:rsidR="00A502A1" w:rsidRPr="000113B8" w:rsidRDefault="00A502A1" w:rsidP="00EC7684">
            <w:pPr>
              <w:contextualSpacing/>
              <w:jc w:val="both"/>
              <w:rPr>
                <w:rFonts w:ascii="Garamond" w:eastAsia="Batang" w:hAnsi="Garamond" w:cs="Arial"/>
                <w:color w:val="000000" w:themeColor="text1"/>
              </w:rPr>
            </w:pPr>
            <w:r w:rsidRPr="000113B8">
              <w:rPr>
                <w:rFonts w:ascii="Garamond" w:eastAsia="Batang" w:hAnsi="Garamond" w:cs="Arial"/>
                <w:color w:val="000000" w:themeColor="text1"/>
              </w:rPr>
              <w:t xml:space="preserve">Riesgo es el suceso incierto que no depende exclusivamente de la voluntad del tomador, del asegurado o del beneficiario del seguro, y cuya realización da origen a la obligación del asegurador. Los hechos ciertos salvo la muerte, y los físicamente imposibles no constituyen riesgos y son, por lo tanto, extraños al seguro. También el dolo y los actos meramente potestativos del tomador, beneficiario o asegurado son </w:t>
            </w:r>
            <w:proofErr w:type="spellStart"/>
            <w:r w:rsidRPr="000113B8">
              <w:rPr>
                <w:rFonts w:ascii="Garamond" w:eastAsia="Batang" w:hAnsi="Garamond" w:cs="Arial"/>
                <w:color w:val="000000" w:themeColor="text1"/>
              </w:rPr>
              <w:t>inasegurables</w:t>
            </w:r>
            <w:proofErr w:type="spellEnd"/>
            <w:r w:rsidRPr="000113B8">
              <w:rPr>
                <w:rFonts w:ascii="Garamond" w:eastAsia="Batang" w:hAnsi="Garamond" w:cs="Arial"/>
                <w:color w:val="000000" w:themeColor="text1"/>
              </w:rPr>
              <w:t>.</w:t>
            </w:r>
          </w:p>
        </w:tc>
      </w:tr>
      <w:tr w:rsidR="009A7F8F" w:rsidRPr="000113B8" w14:paraId="783EFED3" w14:textId="77777777" w:rsidTr="00EC7684">
        <w:trPr>
          <w:jc w:val="center"/>
        </w:trPr>
        <w:tc>
          <w:tcPr>
            <w:tcW w:w="2133" w:type="dxa"/>
            <w:shd w:val="clear" w:color="auto" w:fill="F2F2F2"/>
            <w:vAlign w:val="center"/>
            <w:hideMark/>
          </w:tcPr>
          <w:p w14:paraId="56C08CF1" w14:textId="77777777" w:rsidR="00A502A1" w:rsidRPr="000113B8" w:rsidRDefault="00A502A1" w:rsidP="00EC7684">
            <w:pPr>
              <w:contextualSpacing/>
              <w:jc w:val="both"/>
              <w:rPr>
                <w:rFonts w:ascii="Garamond" w:eastAsia="Batang" w:hAnsi="Garamond" w:cs="Arial"/>
                <w:b/>
                <w:bCs/>
                <w:color w:val="000000" w:themeColor="text1"/>
              </w:rPr>
            </w:pPr>
            <w:r w:rsidRPr="000113B8">
              <w:rPr>
                <w:rFonts w:ascii="Garamond" w:eastAsia="Batang" w:hAnsi="Garamond" w:cs="Arial"/>
                <w:b/>
                <w:bCs/>
                <w:color w:val="000000" w:themeColor="text1"/>
              </w:rPr>
              <w:t>Suma Asegurada</w:t>
            </w:r>
          </w:p>
        </w:tc>
        <w:tc>
          <w:tcPr>
            <w:tcW w:w="6702" w:type="dxa"/>
            <w:shd w:val="clear" w:color="auto" w:fill="F2F2F2"/>
            <w:vAlign w:val="center"/>
            <w:hideMark/>
          </w:tcPr>
          <w:p w14:paraId="33EBCDB2" w14:textId="77777777" w:rsidR="00A502A1" w:rsidRPr="000113B8" w:rsidRDefault="00A502A1" w:rsidP="00EC7684">
            <w:pPr>
              <w:contextualSpacing/>
              <w:jc w:val="both"/>
              <w:rPr>
                <w:rFonts w:ascii="Garamond" w:eastAsia="Batang" w:hAnsi="Garamond" w:cs="Arial"/>
                <w:color w:val="000000" w:themeColor="text1"/>
              </w:rPr>
            </w:pPr>
            <w:r w:rsidRPr="000113B8">
              <w:rPr>
                <w:rFonts w:ascii="Garamond" w:eastAsia="Batang" w:hAnsi="Garamond" w:cs="Arial"/>
                <w:color w:val="000000" w:themeColor="text1"/>
              </w:rPr>
              <w:t>Es el valor atribuido por el Asegurador a los bienes cubiertos por la póliza y representa el límite máximo de la indemnización a pagar por el Asegurador en cada siniestro. La suma asegurada coincide con el valor asegurado en la solicitud para contratar un seguro.</w:t>
            </w:r>
          </w:p>
        </w:tc>
      </w:tr>
      <w:tr w:rsidR="009A7F8F" w:rsidRPr="000113B8" w14:paraId="6CAC0F2A" w14:textId="77777777" w:rsidTr="00EC7684">
        <w:trPr>
          <w:jc w:val="center"/>
        </w:trPr>
        <w:tc>
          <w:tcPr>
            <w:tcW w:w="2133" w:type="dxa"/>
            <w:vAlign w:val="center"/>
            <w:hideMark/>
          </w:tcPr>
          <w:p w14:paraId="23C2EAB3" w14:textId="77777777" w:rsidR="00A502A1" w:rsidRPr="000113B8" w:rsidRDefault="00A502A1" w:rsidP="00EC7684">
            <w:pPr>
              <w:contextualSpacing/>
              <w:jc w:val="both"/>
              <w:rPr>
                <w:rFonts w:ascii="Garamond" w:eastAsia="Batang" w:hAnsi="Garamond" w:cs="Arial"/>
                <w:b/>
                <w:bCs/>
                <w:color w:val="000000" w:themeColor="text1"/>
              </w:rPr>
            </w:pPr>
            <w:r w:rsidRPr="000113B8">
              <w:rPr>
                <w:rFonts w:ascii="Garamond" w:eastAsia="Batang" w:hAnsi="Garamond" w:cs="Arial"/>
                <w:b/>
                <w:bCs/>
                <w:color w:val="000000" w:themeColor="text1"/>
              </w:rPr>
              <w:t>Amparos</w:t>
            </w:r>
          </w:p>
        </w:tc>
        <w:tc>
          <w:tcPr>
            <w:tcW w:w="6702" w:type="dxa"/>
            <w:vAlign w:val="center"/>
            <w:hideMark/>
          </w:tcPr>
          <w:p w14:paraId="07B2AD39" w14:textId="77777777" w:rsidR="00A502A1" w:rsidRPr="000113B8" w:rsidRDefault="00A502A1" w:rsidP="00EC7684">
            <w:pPr>
              <w:contextualSpacing/>
              <w:jc w:val="both"/>
              <w:rPr>
                <w:rFonts w:ascii="Garamond" w:eastAsia="Batang" w:hAnsi="Garamond" w:cs="Arial"/>
                <w:color w:val="000000" w:themeColor="text1"/>
              </w:rPr>
            </w:pPr>
            <w:r w:rsidRPr="000113B8">
              <w:rPr>
                <w:rFonts w:ascii="Garamond" w:eastAsia="Batang" w:hAnsi="Garamond" w:cs="Arial"/>
                <w:color w:val="000000" w:themeColor="text1"/>
              </w:rPr>
              <w:t>De acuerdo con la cosa que deseamos asegurar se deben establecer las coberturas o amparos en las pólizas, estas se refieren a aquellos eventos contra los que se pretenden resguardar el bien o cosa objeto del seguro</w:t>
            </w:r>
          </w:p>
        </w:tc>
      </w:tr>
      <w:tr w:rsidR="009A7F8F" w:rsidRPr="000113B8" w14:paraId="5680C1B1" w14:textId="77777777" w:rsidTr="00EC7684">
        <w:trPr>
          <w:jc w:val="center"/>
        </w:trPr>
        <w:tc>
          <w:tcPr>
            <w:tcW w:w="2133" w:type="dxa"/>
            <w:shd w:val="clear" w:color="auto" w:fill="F2F2F2"/>
            <w:vAlign w:val="center"/>
            <w:hideMark/>
          </w:tcPr>
          <w:p w14:paraId="1FCEA596" w14:textId="77777777" w:rsidR="00A502A1" w:rsidRPr="000113B8" w:rsidRDefault="00A502A1" w:rsidP="00EC7684">
            <w:pPr>
              <w:contextualSpacing/>
              <w:jc w:val="both"/>
              <w:rPr>
                <w:rFonts w:ascii="Garamond" w:eastAsia="Batang" w:hAnsi="Garamond" w:cs="Arial"/>
                <w:b/>
                <w:bCs/>
                <w:color w:val="000000" w:themeColor="text1"/>
                <w:lang w:val="pt-PT"/>
              </w:rPr>
            </w:pPr>
            <w:r w:rsidRPr="000113B8">
              <w:rPr>
                <w:rFonts w:ascii="Garamond" w:eastAsia="Batang" w:hAnsi="Garamond" w:cs="Arial"/>
                <w:b/>
                <w:bCs/>
                <w:color w:val="000000" w:themeColor="text1"/>
                <w:lang w:val="pt-PT"/>
              </w:rPr>
              <w:t>Tasa o Prima de Seguro</w:t>
            </w:r>
          </w:p>
        </w:tc>
        <w:tc>
          <w:tcPr>
            <w:tcW w:w="6702" w:type="dxa"/>
            <w:shd w:val="clear" w:color="auto" w:fill="F2F2F2"/>
            <w:vAlign w:val="center"/>
            <w:hideMark/>
          </w:tcPr>
          <w:p w14:paraId="55B3318D" w14:textId="77777777" w:rsidR="00A502A1" w:rsidRPr="000113B8" w:rsidRDefault="00A502A1" w:rsidP="00EC7684">
            <w:pPr>
              <w:contextualSpacing/>
              <w:jc w:val="both"/>
              <w:rPr>
                <w:rFonts w:ascii="Garamond" w:eastAsia="Batang" w:hAnsi="Garamond" w:cs="Arial"/>
                <w:color w:val="000000" w:themeColor="text1"/>
              </w:rPr>
            </w:pPr>
            <w:r w:rsidRPr="000113B8">
              <w:rPr>
                <w:rFonts w:ascii="Garamond" w:eastAsia="Batang" w:hAnsi="Garamond" w:cs="Arial"/>
                <w:color w:val="000000" w:themeColor="text1"/>
              </w:rPr>
              <w:t>Es el pago al cual se compromete el Tomador de la póliza a la Aseguradora por el traslado del riesgo</w:t>
            </w:r>
          </w:p>
        </w:tc>
      </w:tr>
      <w:tr w:rsidR="009A7F8F" w:rsidRPr="000113B8" w14:paraId="2FD702AE" w14:textId="77777777" w:rsidTr="00EC7684">
        <w:trPr>
          <w:jc w:val="center"/>
        </w:trPr>
        <w:tc>
          <w:tcPr>
            <w:tcW w:w="2133" w:type="dxa"/>
            <w:vAlign w:val="center"/>
            <w:hideMark/>
          </w:tcPr>
          <w:p w14:paraId="24938A7B" w14:textId="77777777" w:rsidR="00A502A1" w:rsidRPr="000113B8" w:rsidRDefault="00A502A1" w:rsidP="00EC7684">
            <w:pPr>
              <w:contextualSpacing/>
              <w:jc w:val="both"/>
              <w:rPr>
                <w:rFonts w:ascii="Garamond" w:eastAsia="Batang" w:hAnsi="Garamond" w:cs="Arial"/>
                <w:b/>
                <w:bCs/>
                <w:color w:val="000000" w:themeColor="text1"/>
              </w:rPr>
            </w:pPr>
            <w:r w:rsidRPr="000113B8">
              <w:rPr>
                <w:rFonts w:ascii="Garamond" w:eastAsia="Batang" w:hAnsi="Garamond" w:cs="Arial"/>
                <w:b/>
                <w:bCs/>
                <w:color w:val="000000" w:themeColor="text1"/>
              </w:rPr>
              <w:t>Indemnización</w:t>
            </w:r>
          </w:p>
        </w:tc>
        <w:tc>
          <w:tcPr>
            <w:tcW w:w="6702" w:type="dxa"/>
            <w:vAlign w:val="center"/>
            <w:hideMark/>
          </w:tcPr>
          <w:p w14:paraId="4B3448BB" w14:textId="77777777" w:rsidR="00A502A1" w:rsidRPr="000113B8" w:rsidRDefault="00A502A1" w:rsidP="00EC7684">
            <w:pPr>
              <w:contextualSpacing/>
              <w:jc w:val="both"/>
              <w:rPr>
                <w:rFonts w:ascii="Garamond" w:eastAsia="Batang" w:hAnsi="Garamond" w:cs="Arial"/>
                <w:color w:val="000000" w:themeColor="text1"/>
              </w:rPr>
            </w:pPr>
            <w:r w:rsidRPr="000113B8">
              <w:rPr>
                <w:rFonts w:ascii="Garamond" w:eastAsia="Batang" w:hAnsi="Garamond" w:cs="Arial"/>
                <w:color w:val="000000" w:themeColor="text1"/>
              </w:rPr>
              <w:t xml:space="preserve">es el pago al que se obliga realizar la Aseguradora en el plazo legal (un mes) </w:t>
            </w:r>
            <w:r w:rsidRPr="000113B8">
              <w:rPr>
                <w:rFonts w:ascii="Garamond" w:eastAsia="Batang" w:hAnsi="Garamond" w:cs="Arial"/>
                <w:color w:val="000000" w:themeColor="text1"/>
              </w:rPr>
              <w:lastRenderedPageBreak/>
              <w:t>una vez ocurrido el siniestro, para lo cual el Asegurado deberá demostrar su ocurrencia y cuantía</w:t>
            </w:r>
          </w:p>
        </w:tc>
      </w:tr>
      <w:tr w:rsidR="009A7F8F" w:rsidRPr="000113B8" w14:paraId="648DC9AB" w14:textId="77777777" w:rsidTr="00EC7684">
        <w:trPr>
          <w:jc w:val="center"/>
        </w:trPr>
        <w:tc>
          <w:tcPr>
            <w:tcW w:w="2133" w:type="dxa"/>
            <w:shd w:val="clear" w:color="auto" w:fill="F2F2F2"/>
            <w:vAlign w:val="center"/>
            <w:hideMark/>
          </w:tcPr>
          <w:p w14:paraId="668E9165" w14:textId="77777777" w:rsidR="00A502A1" w:rsidRPr="000113B8" w:rsidRDefault="00A502A1" w:rsidP="00EC7684">
            <w:pPr>
              <w:contextualSpacing/>
              <w:jc w:val="both"/>
              <w:rPr>
                <w:rFonts w:ascii="Garamond" w:eastAsia="Batang" w:hAnsi="Garamond" w:cs="Arial"/>
                <w:b/>
                <w:bCs/>
                <w:color w:val="000000" w:themeColor="text1"/>
              </w:rPr>
            </w:pPr>
            <w:r w:rsidRPr="000113B8">
              <w:rPr>
                <w:rFonts w:ascii="Garamond" w:eastAsia="Batang" w:hAnsi="Garamond" w:cs="Arial"/>
                <w:b/>
                <w:bCs/>
                <w:color w:val="000000" w:themeColor="text1"/>
              </w:rPr>
              <w:lastRenderedPageBreak/>
              <w:t>Condiciones Generales del Contrato de Seguro</w:t>
            </w:r>
          </w:p>
        </w:tc>
        <w:tc>
          <w:tcPr>
            <w:tcW w:w="6702" w:type="dxa"/>
            <w:shd w:val="clear" w:color="auto" w:fill="F2F2F2"/>
            <w:vAlign w:val="center"/>
          </w:tcPr>
          <w:p w14:paraId="066CB4C6" w14:textId="77777777" w:rsidR="00A502A1" w:rsidRPr="000113B8" w:rsidRDefault="00A502A1" w:rsidP="00EC7684">
            <w:pPr>
              <w:contextualSpacing/>
              <w:jc w:val="both"/>
              <w:rPr>
                <w:rFonts w:ascii="Garamond" w:eastAsia="Batang" w:hAnsi="Garamond" w:cs="Arial"/>
                <w:color w:val="000000" w:themeColor="text1"/>
              </w:rPr>
            </w:pPr>
            <w:r w:rsidRPr="000113B8">
              <w:rPr>
                <w:rFonts w:ascii="Garamond" w:eastAsia="Batang" w:hAnsi="Garamond" w:cs="Arial"/>
                <w:color w:val="000000" w:themeColor="text1"/>
              </w:rPr>
              <w:t>Se entiende por condiciones generales aquellas que establecen el conjunto de principios que prevé la empresa de seguros para regular todos los contratos de seguro que emita en el mismo ramo o modalidad.</w:t>
            </w:r>
          </w:p>
          <w:p w14:paraId="135FC4AF" w14:textId="77777777" w:rsidR="00A502A1" w:rsidRPr="000113B8" w:rsidRDefault="00A502A1" w:rsidP="00EC7684">
            <w:pPr>
              <w:contextualSpacing/>
              <w:jc w:val="both"/>
              <w:rPr>
                <w:rFonts w:ascii="Garamond" w:eastAsia="Batang" w:hAnsi="Garamond" w:cs="Arial"/>
                <w:color w:val="000000" w:themeColor="text1"/>
              </w:rPr>
            </w:pPr>
          </w:p>
          <w:p w14:paraId="5C091C41" w14:textId="77777777" w:rsidR="00A502A1" w:rsidRPr="000113B8" w:rsidRDefault="00A502A1" w:rsidP="00EC7684">
            <w:pPr>
              <w:contextualSpacing/>
              <w:jc w:val="both"/>
              <w:rPr>
                <w:rFonts w:ascii="Garamond" w:eastAsia="Batang" w:hAnsi="Garamond" w:cs="Arial"/>
                <w:color w:val="000000" w:themeColor="text1"/>
              </w:rPr>
            </w:pPr>
            <w:r w:rsidRPr="000113B8">
              <w:rPr>
                <w:rFonts w:ascii="Garamond" w:eastAsia="Batang" w:hAnsi="Garamond" w:cs="Arial"/>
                <w:color w:val="000000" w:themeColor="text1"/>
              </w:rPr>
              <w:t>Estas condiciones son las que establecen la relación contractual entre la Aseguradora y el Tomador del contrato de seguro, se encuentran preestablecidas y aunque normalmente son aceptadas por adhesión del Tomador, pueden de igual manera anularse o modificarse por acuerdo entre las partes, mediante la emisión de una condición particular</w:t>
            </w:r>
          </w:p>
        </w:tc>
      </w:tr>
      <w:tr w:rsidR="009A7F8F" w:rsidRPr="000113B8" w14:paraId="27FEADB2" w14:textId="77777777" w:rsidTr="00EC7684">
        <w:trPr>
          <w:jc w:val="center"/>
        </w:trPr>
        <w:tc>
          <w:tcPr>
            <w:tcW w:w="2133" w:type="dxa"/>
            <w:vAlign w:val="center"/>
            <w:hideMark/>
          </w:tcPr>
          <w:p w14:paraId="2E7EA014" w14:textId="77777777" w:rsidR="00A502A1" w:rsidRPr="000113B8" w:rsidRDefault="00A502A1" w:rsidP="00EC7684">
            <w:pPr>
              <w:contextualSpacing/>
              <w:jc w:val="both"/>
              <w:rPr>
                <w:rFonts w:ascii="Garamond" w:eastAsia="Batang" w:hAnsi="Garamond" w:cs="Arial"/>
                <w:b/>
                <w:bCs/>
                <w:color w:val="000000" w:themeColor="text1"/>
              </w:rPr>
            </w:pPr>
            <w:r w:rsidRPr="000113B8">
              <w:rPr>
                <w:rFonts w:ascii="Garamond" w:eastAsia="Batang" w:hAnsi="Garamond" w:cs="Arial"/>
                <w:b/>
                <w:bCs/>
                <w:color w:val="000000" w:themeColor="text1"/>
              </w:rPr>
              <w:t>Condiciones Particulares del Contrato de Seguro</w:t>
            </w:r>
          </w:p>
        </w:tc>
        <w:tc>
          <w:tcPr>
            <w:tcW w:w="6702" w:type="dxa"/>
            <w:vAlign w:val="center"/>
            <w:hideMark/>
          </w:tcPr>
          <w:p w14:paraId="4ACFFBE0" w14:textId="77777777" w:rsidR="00A502A1" w:rsidRPr="000113B8" w:rsidRDefault="00A502A1" w:rsidP="00EC7684">
            <w:pPr>
              <w:contextualSpacing/>
              <w:jc w:val="both"/>
              <w:rPr>
                <w:rFonts w:ascii="Garamond" w:eastAsia="Batang" w:hAnsi="Garamond" w:cs="Arial"/>
                <w:color w:val="000000" w:themeColor="text1"/>
              </w:rPr>
            </w:pPr>
            <w:r w:rsidRPr="000113B8">
              <w:rPr>
                <w:rFonts w:ascii="Garamond" w:eastAsia="Batang" w:hAnsi="Garamond" w:cs="Arial"/>
                <w:color w:val="000000" w:themeColor="text1"/>
              </w:rPr>
              <w:t>Son aquellas condiciones que contemplan los aspectos concretamente relativos al riesgo que se asegura y que tienen por objeto, incluir nuevas condiciones, modificar o anular condiciones generales o particulares ya existentes.</w:t>
            </w:r>
          </w:p>
        </w:tc>
      </w:tr>
      <w:tr w:rsidR="009A7F8F" w:rsidRPr="000113B8" w14:paraId="4B0C83AE" w14:textId="77777777" w:rsidTr="00EC7684">
        <w:trPr>
          <w:jc w:val="center"/>
        </w:trPr>
        <w:tc>
          <w:tcPr>
            <w:tcW w:w="2133" w:type="dxa"/>
            <w:shd w:val="clear" w:color="auto" w:fill="F2F2F2"/>
            <w:vAlign w:val="center"/>
          </w:tcPr>
          <w:p w14:paraId="705A6006" w14:textId="77777777" w:rsidR="00A502A1" w:rsidRPr="000113B8" w:rsidRDefault="00A502A1" w:rsidP="00EC7684">
            <w:pPr>
              <w:contextualSpacing/>
              <w:jc w:val="both"/>
              <w:rPr>
                <w:rFonts w:ascii="Garamond" w:eastAsia="Batang" w:hAnsi="Garamond" w:cs="Arial"/>
                <w:b/>
                <w:bCs/>
                <w:color w:val="000000" w:themeColor="text1"/>
              </w:rPr>
            </w:pPr>
            <w:r w:rsidRPr="000113B8">
              <w:rPr>
                <w:rFonts w:ascii="Garamond" w:eastAsia="Batang" w:hAnsi="Garamond" w:cs="Arial"/>
                <w:b/>
                <w:bCs/>
                <w:color w:val="000000" w:themeColor="text1"/>
              </w:rPr>
              <w:t>La póliza</w:t>
            </w:r>
          </w:p>
          <w:p w14:paraId="5622C8A1" w14:textId="77777777" w:rsidR="00A502A1" w:rsidRPr="000113B8" w:rsidRDefault="00A502A1" w:rsidP="00EC7684">
            <w:pPr>
              <w:contextualSpacing/>
              <w:jc w:val="both"/>
              <w:rPr>
                <w:rFonts w:ascii="Garamond" w:eastAsia="Batang" w:hAnsi="Garamond" w:cs="Arial"/>
                <w:b/>
                <w:bCs/>
                <w:color w:val="000000" w:themeColor="text1"/>
              </w:rPr>
            </w:pPr>
          </w:p>
        </w:tc>
        <w:tc>
          <w:tcPr>
            <w:tcW w:w="6702" w:type="dxa"/>
            <w:shd w:val="clear" w:color="auto" w:fill="F2F2F2"/>
            <w:vAlign w:val="center"/>
          </w:tcPr>
          <w:p w14:paraId="0F77AB79" w14:textId="77777777" w:rsidR="00A502A1" w:rsidRPr="000113B8" w:rsidRDefault="00A502A1" w:rsidP="00EC7684">
            <w:pPr>
              <w:contextualSpacing/>
              <w:jc w:val="both"/>
              <w:rPr>
                <w:rFonts w:ascii="Garamond" w:eastAsia="Batang" w:hAnsi="Garamond" w:cs="Arial"/>
                <w:color w:val="000000" w:themeColor="text1"/>
              </w:rPr>
            </w:pPr>
            <w:r w:rsidRPr="000113B8">
              <w:rPr>
                <w:rFonts w:ascii="Garamond" w:eastAsia="Batang" w:hAnsi="Garamond" w:cs="Arial"/>
                <w:color w:val="000000" w:themeColor="text1"/>
              </w:rPr>
              <w:t>La póliza de seguro es el documento escrito en donde constan las condiciones del contrato.</w:t>
            </w:r>
          </w:p>
          <w:p w14:paraId="7CF9F268" w14:textId="77777777" w:rsidR="00A502A1" w:rsidRPr="000113B8" w:rsidRDefault="00A502A1" w:rsidP="00EC7684">
            <w:pPr>
              <w:contextualSpacing/>
              <w:jc w:val="both"/>
              <w:rPr>
                <w:rFonts w:ascii="Garamond" w:eastAsia="Batang" w:hAnsi="Garamond" w:cs="Arial"/>
                <w:color w:val="000000" w:themeColor="text1"/>
              </w:rPr>
            </w:pPr>
          </w:p>
          <w:p w14:paraId="1BD57B7E" w14:textId="77777777" w:rsidR="00A502A1" w:rsidRPr="000113B8" w:rsidRDefault="00A502A1" w:rsidP="00EC7684">
            <w:pPr>
              <w:contextualSpacing/>
              <w:jc w:val="both"/>
              <w:rPr>
                <w:rFonts w:ascii="Garamond" w:eastAsia="Batang" w:hAnsi="Garamond" w:cs="Arial"/>
                <w:color w:val="000000" w:themeColor="text1"/>
              </w:rPr>
            </w:pPr>
            <w:r w:rsidRPr="000113B8">
              <w:rPr>
                <w:rFonts w:ascii="Garamond" w:eastAsia="Batang" w:hAnsi="Garamond" w:cs="Arial"/>
                <w:color w:val="000000" w:themeColor="text1"/>
              </w:rPr>
              <w:t>Las pólizas de seguros deberán contener como mínimo:</w:t>
            </w:r>
          </w:p>
          <w:p w14:paraId="67EF400D" w14:textId="77777777" w:rsidR="00A502A1" w:rsidRPr="000113B8" w:rsidRDefault="00A502A1" w:rsidP="00EC7684">
            <w:pPr>
              <w:contextualSpacing/>
              <w:jc w:val="both"/>
              <w:rPr>
                <w:rFonts w:ascii="Garamond" w:eastAsia="Batang" w:hAnsi="Garamond" w:cs="Arial"/>
                <w:color w:val="000000" w:themeColor="text1"/>
              </w:rPr>
            </w:pPr>
          </w:p>
          <w:p w14:paraId="08164923" w14:textId="77777777" w:rsidR="00056FCD" w:rsidRDefault="00A502A1" w:rsidP="00C54B99">
            <w:pPr>
              <w:pStyle w:val="Prrafodelista"/>
              <w:numPr>
                <w:ilvl w:val="0"/>
                <w:numId w:val="18"/>
              </w:numPr>
              <w:autoSpaceDE/>
              <w:autoSpaceDN/>
              <w:contextualSpacing/>
              <w:jc w:val="both"/>
              <w:rPr>
                <w:rFonts w:ascii="Garamond" w:eastAsia="Batang" w:hAnsi="Garamond" w:cs="Arial"/>
                <w:color w:val="000000" w:themeColor="text1"/>
              </w:rPr>
            </w:pPr>
            <w:r w:rsidRPr="00056FCD">
              <w:rPr>
                <w:rFonts w:ascii="Garamond" w:eastAsia="Batang" w:hAnsi="Garamond" w:cs="Arial"/>
                <w:color w:val="000000" w:themeColor="text1"/>
              </w:rPr>
              <w:t>Razón social, registro de información fiscal (discriminación de valores prima, impuestos), datos de registro mercantil y dirección de la sede principal de la empresa de seguros, identificación de la persona que actúa en su nombre, el carácter con el que actúa y los datos del documento donde consta su representación.</w:t>
            </w:r>
          </w:p>
          <w:p w14:paraId="6DA6B381" w14:textId="77777777" w:rsidR="00056FCD" w:rsidRDefault="00A502A1" w:rsidP="00C54B99">
            <w:pPr>
              <w:pStyle w:val="Prrafodelista"/>
              <w:numPr>
                <w:ilvl w:val="0"/>
                <w:numId w:val="18"/>
              </w:numPr>
              <w:autoSpaceDE/>
              <w:autoSpaceDN/>
              <w:contextualSpacing/>
              <w:jc w:val="both"/>
              <w:rPr>
                <w:rFonts w:ascii="Garamond" w:eastAsia="Batang" w:hAnsi="Garamond" w:cs="Arial"/>
                <w:color w:val="000000" w:themeColor="text1"/>
              </w:rPr>
            </w:pPr>
            <w:r w:rsidRPr="00056FCD">
              <w:rPr>
                <w:rFonts w:ascii="Garamond" w:eastAsia="Batang" w:hAnsi="Garamond" w:cs="Arial"/>
                <w:color w:val="000000" w:themeColor="text1"/>
              </w:rPr>
              <w:t>Identificación completa del tomador y el carácter en que contrata, los nombres del asegurado y del beneficiario o la forma de identificarlos, si fueren distintos.</w:t>
            </w:r>
          </w:p>
          <w:p w14:paraId="765AADD6" w14:textId="77777777" w:rsidR="00056FCD" w:rsidRDefault="00A502A1" w:rsidP="00C54B99">
            <w:pPr>
              <w:pStyle w:val="Prrafodelista"/>
              <w:numPr>
                <w:ilvl w:val="0"/>
                <w:numId w:val="18"/>
              </w:numPr>
              <w:autoSpaceDE/>
              <w:autoSpaceDN/>
              <w:contextualSpacing/>
              <w:jc w:val="both"/>
              <w:rPr>
                <w:rFonts w:ascii="Garamond" w:eastAsia="Batang" w:hAnsi="Garamond" w:cs="Arial"/>
                <w:color w:val="000000" w:themeColor="text1"/>
              </w:rPr>
            </w:pPr>
            <w:r w:rsidRPr="00056FCD">
              <w:rPr>
                <w:rFonts w:ascii="Garamond" w:eastAsia="Batang" w:hAnsi="Garamond" w:cs="Arial"/>
                <w:color w:val="000000" w:themeColor="text1"/>
              </w:rPr>
              <w:t>La vigencia del contrato, con indicación de la fecha en que se extienda, la hora y día de su iniciación y vencimiento, o el modo de determinarlos</w:t>
            </w:r>
            <w:r w:rsidR="00056FCD">
              <w:rPr>
                <w:rFonts w:ascii="Garamond" w:eastAsia="Batang" w:hAnsi="Garamond" w:cs="Arial"/>
                <w:color w:val="000000" w:themeColor="text1"/>
              </w:rPr>
              <w:t>.</w:t>
            </w:r>
          </w:p>
          <w:p w14:paraId="1DF84C8B" w14:textId="77777777" w:rsidR="00056FCD" w:rsidRDefault="00A502A1" w:rsidP="00C54B99">
            <w:pPr>
              <w:pStyle w:val="Prrafodelista"/>
              <w:numPr>
                <w:ilvl w:val="0"/>
                <w:numId w:val="18"/>
              </w:numPr>
              <w:autoSpaceDE/>
              <w:autoSpaceDN/>
              <w:contextualSpacing/>
              <w:jc w:val="both"/>
              <w:rPr>
                <w:rFonts w:ascii="Garamond" w:eastAsia="Batang" w:hAnsi="Garamond" w:cs="Arial"/>
                <w:color w:val="000000" w:themeColor="text1"/>
              </w:rPr>
            </w:pPr>
            <w:r w:rsidRPr="00056FCD">
              <w:rPr>
                <w:rFonts w:ascii="Garamond" w:eastAsia="Batang" w:hAnsi="Garamond" w:cs="Arial"/>
                <w:color w:val="000000" w:themeColor="text1"/>
              </w:rPr>
              <w:t>La suma asegurada o el modo de precisarla, o el alcance de la cobertura.</w:t>
            </w:r>
          </w:p>
          <w:p w14:paraId="71866490" w14:textId="77777777" w:rsidR="00056FCD" w:rsidRDefault="00A502A1" w:rsidP="00C54B99">
            <w:pPr>
              <w:pStyle w:val="Prrafodelista"/>
              <w:numPr>
                <w:ilvl w:val="0"/>
                <w:numId w:val="18"/>
              </w:numPr>
              <w:autoSpaceDE/>
              <w:autoSpaceDN/>
              <w:contextualSpacing/>
              <w:jc w:val="both"/>
              <w:rPr>
                <w:rFonts w:ascii="Garamond" w:eastAsia="Batang" w:hAnsi="Garamond" w:cs="Arial"/>
                <w:color w:val="000000" w:themeColor="text1"/>
              </w:rPr>
            </w:pPr>
            <w:r w:rsidRPr="00056FCD">
              <w:rPr>
                <w:rFonts w:ascii="Garamond" w:eastAsia="Batang" w:hAnsi="Garamond" w:cs="Arial"/>
                <w:color w:val="000000" w:themeColor="text1"/>
              </w:rPr>
              <w:t>La prima o el modo de calcularla, la forma y lugar de su pago.</w:t>
            </w:r>
          </w:p>
          <w:p w14:paraId="618A9C40" w14:textId="77777777" w:rsidR="00056FCD" w:rsidRDefault="00A502A1" w:rsidP="00C54B99">
            <w:pPr>
              <w:pStyle w:val="Prrafodelista"/>
              <w:numPr>
                <w:ilvl w:val="0"/>
                <w:numId w:val="18"/>
              </w:numPr>
              <w:autoSpaceDE/>
              <w:autoSpaceDN/>
              <w:contextualSpacing/>
              <w:jc w:val="both"/>
              <w:rPr>
                <w:rFonts w:ascii="Garamond" w:eastAsia="Batang" w:hAnsi="Garamond" w:cs="Arial"/>
                <w:color w:val="000000" w:themeColor="text1"/>
              </w:rPr>
            </w:pPr>
            <w:r w:rsidRPr="00056FCD">
              <w:rPr>
                <w:rFonts w:ascii="Garamond" w:eastAsia="Batang" w:hAnsi="Garamond" w:cs="Arial"/>
                <w:color w:val="000000" w:themeColor="text1"/>
              </w:rPr>
              <w:t>Señalamiento de los riesgos asumidos.</w:t>
            </w:r>
          </w:p>
          <w:p w14:paraId="11F9A814" w14:textId="77777777" w:rsidR="00056FCD" w:rsidRDefault="00A502A1" w:rsidP="00C54B99">
            <w:pPr>
              <w:pStyle w:val="Prrafodelista"/>
              <w:numPr>
                <w:ilvl w:val="0"/>
                <w:numId w:val="18"/>
              </w:numPr>
              <w:autoSpaceDE/>
              <w:autoSpaceDN/>
              <w:contextualSpacing/>
              <w:jc w:val="both"/>
              <w:rPr>
                <w:rFonts w:ascii="Garamond" w:eastAsia="Batang" w:hAnsi="Garamond" w:cs="Arial"/>
                <w:color w:val="000000" w:themeColor="text1"/>
              </w:rPr>
            </w:pPr>
            <w:r w:rsidRPr="00056FCD">
              <w:rPr>
                <w:rFonts w:ascii="Garamond" w:eastAsia="Batang" w:hAnsi="Garamond" w:cs="Arial"/>
                <w:color w:val="000000" w:themeColor="text1"/>
              </w:rPr>
              <w:t>Nombre de los intermediarios de seguro en caso de que intervengan en el contrato.</w:t>
            </w:r>
          </w:p>
          <w:p w14:paraId="6B4C6633" w14:textId="77777777" w:rsidR="00056FCD" w:rsidRDefault="00A502A1" w:rsidP="00C54B99">
            <w:pPr>
              <w:pStyle w:val="Prrafodelista"/>
              <w:numPr>
                <w:ilvl w:val="0"/>
                <w:numId w:val="18"/>
              </w:numPr>
              <w:autoSpaceDE/>
              <w:autoSpaceDN/>
              <w:contextualSpacing/>
              <w:jc w:val="both"/>
              <w:rPr>
                <w:rFonts w:ascii="Garamond" w:eastAsia="Batang" w:hAnsi="Garamond" w:cs="Arial"/>
                <w:color w:val="000000" w:themeColor="text1"/>
              </w:rPr>
            </w:pPr>
            <w:r w:rsidRPr="00056FCD">
              <w:rPr>
                <w:rFonts w:ascii="Garamond" w:eastAsia="Batang" w:hAnsi="Garamond" w:cs="Arial"/>
                <w:color w:val="000000" w:themeColor="text1"/>
              </w:rPr>
              <w:t>Las condiciones generales y particulares que acuerden los contratantes.</w:t>
            </w:r>
          </w:p>
          <w:p w14:paraId="0BBC8DB6" w14:textId="09646391" w:rsidR="00A502A1" w:rsidRPr="00056FCD" w:rsidRDefault="00A502A1" w:rsidP="00C54B99">
            <w:pPr>
              <w:pStyle w:val="Prrafodelista"/>
              <w:numPr>
                <w:ilvl w:val="0"/>
                <w:numId w:val="18"/>
              </w:numPr>
              <w:autoSpaceDE/>
              <w:autoSpaceDN/>
              <w:contextualSpacing/>
              <w:jc w:val="both"/>
              <w:rPr>
                <w:rFonts w:ascii="Garamond" w:eastAsia="Batang" w:hAnsi="Garamond" w:cs="Arial"/>
                <w:color w:val="000000" w:themeColor="text1"/>
              </w:rPr>
            </w:pPr>
            <w:r w:rsidRPr="00056FCD">
              <w:rPr>
                <w:rFonts w:ascii="Garamond" w:eastAsia="Batang" w:hAnsi="Garamond" w:cs="Arial"/>
                <w:color w:val="000000" w:themeColor="text1"/>
              </w:rPr>
              <w:t>Las firmas de la empresa de seguros y del tomador.</w:t>
            </w:r>
          </w:p>
          <w:p w14:paraId="5B953F7B" w14:textId="77777777" w:rsidR="00A502A1" w:rsidRPr="000113B8" w:rsidRDefault="00A502A1" w:rsidP="00EC7684">
            <w:pPr>
              <w:contextualSpacing/>
              <w:jc w:val="both"/>
              <w:rPr>
                <w:rFonts w:ascii="Garamond" w:eastAsia="Batang" w:hAnsi="Garamond" w:cs="Arial"/>
                <w:color w:val="000000" w:themeColor="text1"/>
              </w:rPr>
            </w:pPr>
          </w:p>
          <w:p w14:paraId="07B12CA6" w14:textId="77777777" w:rsidR="00A502A1" w:rsidRPr="000113B8" w:rsidRDefault="00A502A1" w:rsidP="00EC7684">
            <w:pPr>
              <w:contextualSpacing/>
              <w:jc w:val="both"/>
              <w:rPr>
                <w:rFonts w:ascii="Garamond" w:eastAsia="Batang" w:hAnsi="Garamond" w:cs="Arial"/>
                <w:color w:val="000000" w:themeColor="text1"/>
              </w:rPr>
            </w:pPr>
            <w:r w:rsidRPr="000113B8">
              <w:rPr>
                <w:rFonts w:ascii="Garamond" w:eastAsia="Batang" w:hAnsi="Garamond" w:cs="Arial"/>
                <w:color w:val="000000" w:themeColor="text1"/>
              </w:rPr>
              <w:t>Requisitos que deberán poseer para su validez los anexos de las pólizas que modifiquen sus condiciones, los cuales deberán estar firmados por la empresa de seguros y el tomador, e indicar claramente la póliza a la que pertenecen.</w:t>
            </w:r>
          </w:p>
          <w:p w14:paraId="330AA36A" w14:textId="77777777" w:rsidR="00A502A1" w:rsidRPr="000113B8" w:rsidRDefault="00A502A1" w:rsidP="00EC7684">
            <w:pPr>
              <w:contextualSpacing/>
              <w:jc w:val="both"/>
              <w:rPr>
                <w:rFonts w:ascii="Garamond" w:eastAsia="Batang" w:hAnsi="Garamond" w:cs="Arial"/>
                <w:color w:val="000000" w:themeColor="text1"/>
              </w:rPr>
            </w:pPr>
          </w:p>
          <w:p w14:paraId="3A2BDB72" w14:textId="77777777" w:rsidR="00A502A1" w:rsidRPr="000113B8" w:rsidRDefault="00A502A1" w:rsidP="00EC7684">
            <w:pPr>
              <w:contextualSpacing/>
              <w:jc w:val="both"/>
              <w:rPr>
                <w:rFonts w:ascii="Garamond" w:eastAsia="Batang" w:hAnsi="Garamond" w:cs="Arial"/>
                <w:color w:val="000000" w:themeColor="text1"/>
              </w:rPr>
            </w:pPr>
            <w:r w:rsidRPr="000113B8">
              <w:rPr>
                <w:rFonts w:ascii="Garamond" w:eastAsia="Batang" w:hAnsi="Garamond" w:cs="Arial"/>
                <w:color w:val="000000" w:themeColor="text1"/>
              </w:rPr>
              <w:t>En caso de discrepancia entre lo indicado en el anexo y en la póliza, prevalecerá lo señalado en el anexo debidamente firmado.</w:t>
            </w:r>
          </w:p>
          <w:p w14:paraId="3F8E7842" w14:textId="77777777" w:rsidR="00A502A1" w:rsidRPr="000113B8" w:rsidRDefault="00A502A1" w:rsidP="00EC7684">
            <w:pPr>
              <w:contextualSpacing/>
              <w:jc w:val="both"/>
              <w:rPr>
                <w:rFonts w:ascii="Garamond" w:eastAsia="Batang" w:hAnsi="Garamond" w:cs="Arial"/>
                <w:color w:val="000000" w:themeColor="text1"/>
              </w:rPr>
            </w:pPr>
          </w:p>
          <w:p w14:paraId="57A85FA1" w14:textId="77777777" w:rsidR="00A502A1" w:rsidRPr="000113B8" w:rsidRDefault="00A502A1" w:rsidP="00EC7684">
            <w:pPr>
              <w:contextualSpacing/>
              <w:jc w:val="both"/>
              <w:rPr>
                <w:rFonts w:ascii="Garamond" w:eastAsia="Batang" w:hAnsi="Garamond" w:cs="Arial"/>
                <w:color w:val="000000" w:themeColor="text1"/>
              </w:rPr>
            </w:pPr>
            <w:r w:rsidRPr="000113B8">
              <w:rPr>
                <w:rFonts w:ascii="Garamond" w:eastAsia="Batang" w:hAnsi="Garamond" w:cs="Arial"/>
                <w:color w:val="000000" w:themeColor="text1"/>
              </w:rPr>
              <w:t>La póliza puede ser nominativa, a la orden o al portador.</w:t>
            </w:r>
          </w:p>
          <w:p w14:paraId="716993A7" w14:textId="77777777" w:rsidR="00A502A1" w:rsidRPr="000113B8" w:rsidRDefault="00A502A1" w:rsidP="00EC7684">
            <w:pPr>
              <w:contextualSpacing/>
              <w:jc w:val="both"/>
              <w:rPr>
                <w:rFonts w:ascii="Garamond" w:eastAsia="Batang" w:hAnsi="Garamond" w:cs="Arial"/>
                <w:color w:val="000000" w:themeColor="text1"/>
              </w:rPr>
            </w:pPr>
          </w:p>
          <w:p w14:paraId="7A526AA5" w14:textId="77777777" w:rsidR="00A502A1" w:rsidRPr="000113B8" w:rsidRDefault="00A502A1" w:rsidP="00EC7684">
            <w:pPr>
              <w:contextualSpacing/>
              <w:jc w:val="both"/>
              <w:rPr>
                <w:rFonts w:ascii="Garamond" w:eastAsia="Batang" w:hAnsi="Garamond" w:cs="Arial"/>
                <w:color w:val="000000" w:themeColor="text1"/>
              </w:rPr>
            </w:pPr>
            <w:r w:rsidRPr="000113B8">
              <w:rPr>
                <w:rFonts w:ascii="Garamond" w:eastAsia="Batang" w:hAnsi="Garamond" w:cs="Arial"/>
                <w:color w:val="000000" w:themeColor="text1"/>
              </w:rPr>
              <w:lastRenderedPageBreak/>
              <w:t>La cesión de la póliza para que produzca efectos contra la empresa de seguros requiere de la autorización de la misma.</w:t>
            </w:r>
          </w:p>
          <w:p w14:paraId="46D23B3F" w14:textId="77777777" w:rsidR="00A502A1" w:rsidRPr="000113B8" w:rsidRDefault="00A502A1" w:rsidP="00EC7684">
            <w:pPr>
              <w:contextualSpacing/>
              <w:jc w:val="both"/>
              <w:rPr>
                <w:rFonts w:ascii="Garamond" w:eastAsia="Batang" w:hAnsi="Garamond" w:cs="Arial"/>
                <w:color w:val="000000" w:themeColor="text1"/>
              </w:rPr>
            </w:pPr>
          </w:p>
          <w:p w14:paraId="0A37AABE" w14:textId="77777777" w:rsidR="00A502A1" w:rsidRPr="000113B8" w:rsidRDefault="00A502A1" w:rsidP="00EC7684">
            <w:pPr>
              <w:contextualSpacing/>
              <w:jc w:val="both"/>
              <w:rPr>
                <w:rFonts w:ascii="Garamond" w:eastAsia="Batang" w:hAnsi="Garamond" w:cs="Arial"/>
                <w:color w:val="000000" w:themeColor="text1"/>
              </w:rPr>
            </w:pPr>
            <w:r w:rsidRPr="000113B8">
              <w:rPr>
                <w:rFonts w:ascii="Garamond" w:eastAsia="Batang" w:hAnsi="Garamond" w:cs="Arial"/>
                <w:color w:val="000000" w:themeColor="text1"/>
              </w:rPr>
              <w:t>La cesión de la póliza a la orden puede hacerse por simple endoso.</w:t>
            </w:r>
          </w:p>
          <w:p w14:paraId="149E001C" w14:textId="77777777" w:rsidR="00A502A1" w:rsidRPr="000113B8" w:rsidRDefault="00A502A1" w:rsidP="00EC7684">
            <w:pPr>
              <w:contextualSpacing/>
              <w:jc w:val="both"/>
              <w:rPr>
                <w:rFonts w:ascii="Garamond" w:eastAsia="Batang" w:hAnsi="Garamond" w:cs="Arial"/>
                <w:color w:val="000000" w:themeColor="text1"/>
              </w:rPr>
            </w:pPr>
          </w:p>
          <w:p w14:paraId="0C76F7C9" w14:textId="77777777" w:rsidR="00A502A1" w:rsidRPr="000113B8" w:rsidRDefault="00A502A1" w:rsidP="00EC7684">
            <w:pPr>
              <w:contextualSpacing/>
              <w:jc w:val="both"/>
              <w:rPr>
                <w:rFonts w:ascii="Garamond" w:eastAsia="Batang" w:hAnsi="Garamond" w:cs="Arial"/>
                <w:color w:val="000000" w:themeColor="text1"/>
              </w:rPr>
            </w:pPr>
            <w:r w:rsidRPr="000113B8">
              <w:rPr>
                <w:rFonts w:ascii="Garamond" w:eastAsia="Batang" w:hAnsi="Garamond" w:cs="Arial"/>
                <w:color w:val="000000" w:themeColor="text1"/>
              </w:rPr>
              <w:t>Podrá oponer la empresa de seguros al cesionario o endosatario las excepciones que tenga contra el tomador, el asegurado o el beneficiario.</w:t>
            </w:r>
          </w:p>
        </w:tc>
      </w:tr>
      <w:tr w:rsidR="009A7F8F" w:rsidRPr="000113B8" w14:paraId="25DF38EA" w14:textId="77777777" w:rsidTr="00EC7684">
        <w:trPr>
          <w:jc w:val="center"/>
        </w:trPr>
        <w:tc>
          <w:tcPr>
            <w:tcW w:w="8835" w:type="dxa"/>
            <w:gridSpan w:val="2"/>
            <w:vAlign w:val="center"/>
            <w:hideMark/>
          </w:tcPr>
          <w:p w14:paraId="3A2483C0" w14:textId="77777777" w:rsidR="00A502A1" w:rsidRPr="000113B8" w:rsidRDefault="00A502A1" w:rsidP="00EC7684">
            <w:pPr>
              <w:contextualSpacing/>
              <w:jc w:val="center"/>
              <w:rPr>
                <w:rFonts w:ascii="Garamond" w:eastAsia="Batang" w:hAnsi="Garamond" w:cs="Arial"/>
                <w:b/>
                <w:bCs/>
                <w:color w:val="000000" w:themeColor="text1"/>
              </w:rPr>
            </w:pPr>
            <w:r w:rsidRPr="000113B8">
              <w:rPr>
                <w:rFonts w:ascii="Garamond" w:eastAsia="Batang" w:hAnsi="Garamond" w:cs="Arial"/>
                <w:b/>
                <w:bCs/>
                <w:color w:val="000000" w:themeColor="text1"/>
              </w:rPr>
              <w:lastRenderedPageBreak/>
              <w:t>PARTES DE SEGURO</w:t>
            </w:r>
          </w:p>
        </w:tc>
      </w:tr>
      <w:tr w:rsidR="009A7F8F" w:rsidRPr="000113B8" w14:paraId="6EE1FAD5" w14:textId="77777777" w:rsidTr="00EC7684">
        <w:trPr>
          <w:jc w:val="center"/>
        </w:trPr>
        <w:tc>
          <w:tcPr>
            <w:tcW w:w="2133" w:type="dxa"/>
            <w:shd w:val="clear" w:color="auto" w:fill="F2F2F2"/>
            <w:vAlign w:val="center"/>
            <w:hideMark/>
          </w:tcPr>
          <w:p w14:paraId="7F972C84" w14:textId="77777777" w:rsidR="00A502A1" w:rsidRPr="000113B8" w:rsidRDefault="00A502A1" w:rsidP="00EC7684">
            <w:pPr>
              <w:contextualSpacing/>
              <w:jc w:val="both"/>
              <w:rPr>
                <w:rFonts w:ascii="Garamond" w:eastAsia="Batang" w:hAnsi="Garamond" w:cs="Arial"/>
                <w:b/>
                <w:bCs/>
                <w:color w:val="000000" w:themeColor="text1"/>
              </w:rPr>
            </w:pPr>
            <w:r w:rsidRPr="000113B8">
              <w:rPr>
                <w:rFonts w:ascii="Garamond" w:eastAsia="Batang" w:hAnsi="Garamond" w:cs="Arial"/>
                <w:b/>
                <w:bCs/>
                <w:color w:val="000000" w:themeColor="text1"/>
              </w:rPr>
              <w:t>La empresa de seguros o asegurador</w:t>
            </w:r>
          </w:p>
        </w:tc>
        <w:tc>
          <w:tcPr>
            <w:tcW w:w="6702" w:type="dxa"/>
            <w:shd w:val="clear" w:color="auto" w:fill="F2F2F2"/>
            <w:vAlign w:val="center"/>
            <w:hideMark/>
          </w:tcPr>
          <w:p w14:paraId="6593B70A" w14:textId="77777777" w:rsidR="00A502A1" w:rsidRPr="000113B8" w:rsidRDefault="00A502A1" w:rsidP="00EC7684">
            <w:pPr>
              <w:contextualSpacing/>
              <w:jc w:val="both"/>
              <w:rPr>
                <w:rFonts w:ascii="Garamond" w:eastAsia="Batang" w:hAnsi="Garamond" w:cs="Arial"/>
                <w:color w:val="000000" w:themeColor="text1"/>
              </w:rPr>
            </w:pPr>
            <w:r w:rsidRPr="000113B8">
              <w:rPr>
                <w:rFonts w:ascii="Garamond" w:eastAsia="Batang" w:hAnsi="Garamond" w:cs="Arial"/>
                <w:color w:val="000000" w:themeColor="text1"/>
              </w:rPr>
              <w:t>La persona que asume los riesgos. Sólo las empresas de seguros autorizadas de acuerdo con la ley que rige la materia pueden actuar como asegurador</w:t>
            </w:r>
          </w:p>
        </w:tc>
      </w:tr>
      <w:tr w:rsidR="009A7F8F" w:rsidRPr="000113B8" w14:paraId="52F61198" w14:textId="77777777" w:rsidTr="00EC7684">
        <w:trPr>
          <w:jc w:val="center"/>
        </w:trPr>
        <w:tc>
          <w:tcPr>
            <w:tcW w:w="2133" w:type="dxa"/>
            <w:vAlign w:val="center"/>
            <w:hideMark/>
          </w:tcPr>
          <w:p w14:paraId="6E60B569" w14:textId="77777777" w:rsidR="00A502A1" w:rsidRPr="000113B8" w:rsidRDefault="00A502A1" w:rsidP="00EC7684">
            <w:pPr>
              <w:contextualSpacing/>
              <w:jc w:val="both"/>
              <w:rPr>
                <w:rFonts w:ascii="Garamond" w:eastAsia="Batang" w:hAnsi="Garamond" w:cs="Arial"/>
                <w:b/>
                <w:bCs/>
                <w:color w:val="000000" w:themeColor="text1"/>
              </w:rPr>
            </w:pPr>
            <w:r w:rsidRPr="000113B8">
              <w:rPr>
                <w:rFonts w:ascii="Garamond" w:eastAsia="Batang" w:hAnsi="Garamond" w:cs="Arial"/>
                <w:b/>
                <w:bCs/>
                <w:color w:val="000000" w:themeColor="text1"/>
              </w:rPr>
              <w:t>El tomador</w:t>
            </w:r>
          </w:p>
        </w:tc>
        <w:tc>
          <w:tcPr>
            <w:tcW w:w="6702" w:type="dxa"/>
            <w:vAlign w:val="center"/>
            <w:hideMark/>
          </w:tcPr>
          <w:p w14:paraId="0F1C7D0D" w14:textId="77777777" w:rsidR="00A502A1" w:rsidRPr="000113B8" w:rsidRDefault="00A502A1" w:rsidP="00EC7684">
            <w:pPr>
              <w:contextualSpacing/>
              <w:jc w:val="both"/>
              <w:rPr>
                <w:rFonts w:ascii="Garamond" w:eastAsia="Batang" w:hAnsi="Garamond" w:cs="Arial"/>
                <w:color w:val="000000" w:themeColor="text1"/>
              </w:rPr>
            </w:pPr>
            <w:r w:rsidRPr="000113B8">
              <w:rPr>
                <w:rFonts w:ascii="Garamond" w:eastAsia="Batang" w:hAnsi="Garamond" w:cs="Arial"/>
                <w:color w:val="000000" w:themeColor="text1"/>
              </w:rPr>
              <w:t>La persona que, obrando por cuenta propia o ajena, traslada los riesgos</w:t>
            </w:r>
          </w:p>
        </w:tc>
      </w:tr>
      <w:tr w:rsidR="009A7F8F" w:rsidRPr="000113B8" w14:paraId="056E6617" w14:textId="77777777" w:rsidTr="00EC7684">
        <w:trPr>
          <w:jc w:val="center"/>
        </w:trPr>
        <w:tc>
          <w:tcPr>
            <w:tcW w:w="2133" w:type="dxa"/>
            <w:shd w:val="clear" w:color="auto" w:fill="F2F2F2"/>
            <w:vAlign w:val="center"/>
            <w:hideMark/>
          </w:tcPr>
          <w:p w14:paraId="450DE510" w14:textId="77777777" w:rsidR="00A502A1" w:rsidRPr="000113B8" w:rsidRDefault="00A502A1" w:rsidP="00EC7684">
            <w:pPr>
              <w:contextualSpacing/>
              <w:jc w:val="both"/>
              <w:rPr>
                <w:rFonts w:ascii="Garamond" w:eastAsia="Batang" w:hAnsi="Garamond" w:cs="Arial"/>
                <w:b/>
                <w:bCs/>
                <w:color w:val="000000" w:themeColor="text1"/>
              </w:rPr>
            </w:pPr>
            <w:r w:rsidRPr="000113B8">
              <w:rPr>
                <w:rFonts w:ascii="Garamond" w:eastAsia="Batang" w:hAnsi="Garamond" w:cs="Arial"/>
                <w:b/>
                <w:bCs/>
                <w:color w:val="000000" w:themeColor="text1"/>
              </w:rPr>
              <w:t>El asegurado</w:t>
            </w:r>
          </w:p>
        </w:tc>
        <w:tc>
          <w:tcPr>
            <w:tcW w:w="6702" w:type="dxa"/>
            <w:shd w:val="clear" w:color="auto" w:fill="F2F2F2"/>
            <w:vAlign w:val="center"/>
            <w:hideMark/>
          </w:tcPr>
          <w:p w14:paraId="41195F6B" w14:textId="77777777" w:rsidR="00A502A1" w:rsidRPr="000113B8" w:rsidRDefault="00A502A1" w:rsidP="00EC7684">
            <w:pPr>
              <w:contextualSpacing/>
              <w:jc w:val="both"/>
              <w:rPr>
                <w:rFonts w:ascii="Garamond" w:eastAsia="Batang" w:hAnsi="Garamond" w:cs="Arial"/>
                <w:color w:val="000000" w:themeColor="text1"/>
              </w:rPr>
            </w:pPr>
            <w:r w:rsidRPr="000113B8">
              <w:rPr>
                <w:rFonts w:ascii="Garamond" w:eastAsia="Batang" w:hAnsi="Garamond" w:cs="Arial"/>
                <w:color w:val="000000" w:themeColor="text1"/>
              </w:rPr>
              <w:t>Persona que en sí misma, en sus bienes o en sus intereses económicos está expuesta al riesgo</w:t>
            </w:r>
          </w:p>
        </w:tc>
      </w:tr>
      <w:tr w:rsidR="009A7F8F" w:rsidRPr="000113B8" w14:paraId="1E4AF952" w14:textId="77777777" w:rsidTr="00EC7684">
        <w:trPr>
          <w:jc w:val="center"/>
        </w:trPr>
        <w:tc>
          <w:tcPr>
            <w:tcW w:w="2133" w:type="dxa"/>
            <w:vAlign w:val="center"/>
            <w:hideMark/>
          </w:tcPr>
          <w:p w14:paraId="774F2824" w14:textId="77777777" w:rsidR="00A502A1" w:rsidRPr="000113B8" w:rsidRDefault="00A502A1" w:rsidP="00EC7684">
            <w:pPr>
              <w:contextualSpacing/>
              <w:jc w:val="both"/>
              <w:rPr>
                <w:rFonts w:ascii="Garamond" w:eastAsia="Batang" w:hAnsi="Garamond" w:cs="Arial"/>
                <w:b/>
                <w:bCs/>
                <w:color w:val="000000" w:themeColor="text1"/>
              </w:rPr>
            </w:pPr>
            <w:r w:rsidRPr="000113B8">
              <w:rPr>
                <w:rFonts w:ascii="Garamond" w:eastAsia="Batang" w:hAnsi="Garamond" w:cs="Arial"/>
                <w:b/>
                <w:bCs/>
                <w:color w:val="000000" w:themeColor="text1"/>
              </w:rPr>
              <w:t>El beneficiario</w:t>
            </w:r>
          </w:p>
        </w:tc>
        <w:tc>
          <w:tcPr>
            <w:tcW w:w="6702" w:type="dxa"/>
            <w:vAlign w:val="center"/>
            <w:hideMark/>
          </w:tcPr>
          <w:p w14:paraId="32C3D83A" w14:textId="77777777" w:rsidR="00A502A1" w:rsidRPr="000113B8" w:rsidRDefault="00A502A1" w:rsidP="00EC7684">
            <w:pPr>
              <w:contextualSpacing/>
              <w:jc w:val="both"/>
              <w:rPr>
                <w:rFonts w:ascii="Garamond" w:eastAsia="Batang" w:hAnsi="Garamond" w:cs="Arial"/>
                <w:color w:val="000000" w:themeColor="text1"/>
              </w:rPr>
            </w:pPr>
            <w:r w:rsidRPr="000113B8">
              <w:rPr>
                <w:rFonts w:ascii="Garamond" w:eastAsia="Batang" w:hAnsi="Garamond" w:cs="Arial"/>
                <w:color w:val="000000" w:themeColor="text1"/>
              </w:rPr>
              <w:t>Aquél en cuyo favor se ha establecido la indemnización que pagará la empresa de seguros</w:t>
            </w:r>
          </w:p>
        </w:tc>
      </w:tr>
      <w:tr w:rsidR="009A7F8F" w:rsidRPr="000113B8" w14:paraId="1581E8D0" w14:textId="77777777" w:rsidTr="00EC7684">
        <w:trPr>
          <w:jc w:val="center"/>
        </w:trPr>
        <w:tc>
          <w:tcPr>
            <w:tcW w:w="8835" w:type="dxa"/>
            <w:gridSpan w:val="2"/>
            <w:shd w:val="clear" w:color="auto" w:fill="F2F2F2"/>
            <w:vAlign w:val="center"/>
            <w:hideMark/>
          </w:tcPr>
          <w:p w14:paraId="3D4B86DF" w14:textId="77777777" w:rsidR="00A502A1" w:rsidRPr="000113B8" w:rsidRDefault="00A502A1" w:rsidP="00EC7684">
            <w:pPr>
              <w:contextualSpacing/>
              <w:jc w:val="both"/>
              <w:rPr>
                <w:rFonts w:ascii="Garamond" w:eastAsia="Batang" w:hAnsi="Garamond" w:cs="Arial"/>
                <w:color w:val="000000" w:themeColor="text1"/>
              </w:rPr>
            </w:pPr>
            <w:r w:rsidRPr="000113B8">
              <w:rPr>
                <w:rFonts w:ascii="Garamond" w:eastAsia="Batang" w:hAnsi="Garamond" w:cs="Arial"/>
                <w:color w:val="000000" w:themeColor="text1"/>
              </w:rPr>
              <w:t>El Tomador, Asegurado y Beneficiario pueden ser o no la misma persona; así lo establece el Código de Comercio</w:t>
            </w:r>
          </w:p>
        </w:tc>
      </w:tr>
      <w:tr w:rsidR="009A7F8F" w:rsidRPr="000113B8" w14:paraId="62F1BEB0" w14:textId="77777777" w:rsidTr="00EC7684">
        <w:trPr>
          <w:jc w:val="center"/>
        </w:trPr>
        <w:tc>
          <w:tcPr>
            <w:tcW w:w="8835" w:type="dxa"/>
            <w:gridSpan w:val="2"/>
            <w:vAlign w:val="center"/>
            <w:hideMark/>
          </w:tcPr>
          <w:p w14:paraId="33CD3833" w14:textId="77777777" w:rsidR="00A502A1" w:rsidRPr="000113B8" w:rsidRDefault="00A502A1" w:rsidP="00EC7684">
            <w:pPr>
              <w:contextualSpacing/>
              <w:jc w:val="center"/>
              <w:rPr>
                <w:rFonts w:ascii="Garamond" w:eastAsia="Batang" w:hAnsi="Garamond" w:cs="Arial"/>
                <w:b/>
                <w:bCs/>
                <w:color w:val="000000" w:themeColor="text1"/>
              </w:rPr>
            </w:pPr>
            <w:r w:rsidRPr="000113B8">
              <w:rPr>
                <w:rFonts w:ascii="Garamond" w:eastAsia="Batang" w:hAnsi="Garamond" w:cs="Arial"/>
                <w:b/>
                <w:bCs/>
                <w:color w:val="000000" w:themeColor="text1"/>
              </w:rPr>
              <w:t>OBLIGACIONES DE LAS PARTES DEL SEGURO</w:t>
            </w:r>
          </w:p>
        </w:tc>
      </w:tr>
      <w:tr w:rsidR="009A7F8F" w:rsidRPr="000113B8" w14:paraId="61CD405F" w14:textId="77777777" w:rsidTr="00EC7684">
        <w:trPr>
          <w:jc w:val="center"/>
        </w:trPr>
        <w:tc>
          <w:tcPr>
            <w:tcW w:w="2133" w:type="dxa"/>
            <w:shd w:val="clear" w:color="auto" w:fill="F2F2F2"/>
            <w:vAlign w:val="center"/>
          </w:tcPr>
          <w:p w14:paraId="6F2D4EAF" w14:textId="77777777" w:rsidR="00A502A1" w:rsidRPr="000113B8" w:rsidRDefault="00A502A1" w:rsidP="00EC7684">
            <w:pPr>
              <w:contextualSpacing/>
              <w:jc w:val="both"/>
              <w:rPr>
                <w:rFonts w:ascii="Garamond" w:eastAsia="Batang" w:hAnsi="Garamond" w:cs="Arial"/>
                <w:b/>
                <w:bCs/>
                <w:color w:val="000000" w:themeColor="text1"/>
              </w:rPr>
            </w:pPr>
            <w:r w:rsidRPr="000113B8">
              <w:rPr>
                <w:rFonts w:ascii="Garamond" w:eastAsia="Batang" w:hAnsi="Garamond" w:cs="Arial"/>
                <w:b/>
                <w:bCs/>
                <w:color w:val="000000" w:themeColor="text1"/>
              </w:rPr>
              <w:t>El tomador, el asegurado o el beneficiario, según el caso, deberá:</w:t>
            </w:r>
          </w:p>
          <w:p w14:paraId="38308D3B" w14:textId="77777777" w:rsidR="00A502A1" w:rsidRPr="000113B8" w:rsidRDefault="00A502A1" w:rsidP="00EC7684">
            <w:pPr>
              <w:contextualSpacing/>
              <w:jc w:val="both"/>
              <w:rPr>
                <w:rFonts w:ascii="Garamond" w:eastAsia="Batang" w:hAnsi="Garamond" w:cs="Arial"/>
                <w:b/>
                <w:bCs/>
                <w:color w:val="000000" w:themeColor="text1"/>
              </w:rPr>
            </w:pPr>
          </w:p>
        </w:tc>
        <w:tc>
          <w:tcPr>
            <w:tcW w:w="6702" w:type="dxa"/>
            <w:shd w:val="clear" w:color="auto" w:fill="F2F2F2"/>
            <w:vAlign w:val="center"/>
            <w:hideMark/>
          </w:tcPr>
          <w:p w14:paraId="3B390F00" w14:textId="77777777" w:rsidR="003A4B1F" w:rsidRPr="000113B8" w:rsidRDefault="00A502A1" w:rsidP="00C54B99">
            <w:pPr>
              <w:pStyle w:val="Prrafodelista"/>
              <w:widowControl/>
              <w:numPr>
                <w:ilvl w:val="0"/>
                <w:numId w:val="18"/>
              </w:numPr>
              <w:autoSpaceDE/>
              <w:autoSpaceDN/>
              <w:spacing w:after="5"/>
              <w:contextualSpacing/>
              <w:jc w:val="both"/>
              <w:rPr>
                <w:rFonts w:ascii="Garamond" w:eastAsia="Batang" w:hAnsi="Garamond" w:cs="Arial"/>
                <w:color w:val="000000" w:themeColor="text1"/>
              </w:rPr>
            </w:pPr>
            <w:r w:rsidRPr="000113B8">
              <w:rPr>
                <w:rFonts w:ascii="Garamond" w:eastAsia="Batang" w:hAnsi="Garamond" w:cs="Arial"/>
                <w:color w:val="000000" w:themeColor="text1"/>
              </w:rPr>
              <w:t>Llenar la solicitud del seguro y declarar con sinceridad todas las circunstancias necesarias para identificar el bien o personas aseguradas y apreciar la extensión de los riesgos, en los términos indicados en este el artículo 1058 del Código de Comercio.</w:t>
            </w:r>
          </w:p>
          <w:p w14:paraId="3D8BA5E3" w14:textId="77777777" w:rsidR="003A4B1F" w:rsidRPr="000113B8" w:rsidRDefault="00A502A1" w:rsidP="00C54B99">
            <w:pPr>
              <w:pStyle w:val="Prrafodelista"/>
              <w:widowControl/>
              <w:numPr>
                <w:ilvl w:val="0"/>
                <w:numId w:val="18"/>
              </w:numPr>
              <w:autoSpaceDE/>
              <w:autoSpaceDN/>
              <w:spacing w:after="5"/>
              <w:contextualSpacing/>
              <w:jc w:val="both"/>
              <w:rPr>
                <w:rFonts w:ascii="Garamond" w:eastAsia="Batang" w:hAnsi="Garamond" w:cs="Arial"/>
                <w:color w:val="000000" w:themeColor="text1"/>
              </w:rPr>
            </w:pPr>
            <w:r w:rsidRPr="000113B8">
              <w:rPr>
                <w:rFonts w:ascii="Garamond" w:eastAsia="Batang" w:hAnsi="Garamond" w:cs="Arial"/>
                <w:color w:val="000000" w:themeColor="text1"/>
              </w:rPr>
              <w:t>Pagar la prima en la forma y tiempo convenidos.</w:t>
            </w:r>
          </w:p>
          <w:p w14:paraId="10F5BFF7" w14:textId="77777777" w:rsidR="003A4B1F" w:rsidRPr="000113B8" w:rsidRDefault="00A502A1" w:rsidP="00C54B99">
            <w:pPr>
              <w:pStyle w:val="Prrafodelista"/>
              <w:widowControl/>
              <w:numPr>
                <w:ilvl w:val="0"/>
                <w:numId w:val="18"/>
              </w:numPr>
              <w:autoSpaceDE/>
              <w:autoSpaceDN/>
              <w:spacing w:after="5"/>
              <w:contextualSpacing/>
              <w:jc w:val="both"/>
              <w:rPr>
                <w:rFonts w:ascii="Garamond" w:eastAsia="Batang" w:hAnsi="Garamond" w:cs="Arial"/>
                <w:color w:val="000000" w:themeColor="text1"/>
              </w:rPr>
            </w:pPr>
            <w:r w:rsidRPr="000113B8">
              <w:rPr>
                <w:rFonts w:ascii="Garamond" w:eastAsia="Batang" w:hAnsi="Garamond" w:cs="Arial"/>
                <w:color w:val="000000" w:themeColor="text1"/>
              </w:rPr>
              <w:t>Llevar a cabo todas las medidas de cuidado necesarias para prevenir el siniestro.</w:t>
            </w:r>
          </w:p>
          <w:p w14:paraId="7EC41079" w14:textId="77777777" w:rsidR="003A4B1F" w:rsidRPr="000113B8" w:rsidRDefault="00A502A1" w:rsidP="00C54B99">
            <w:pPr>
              <w:pStyle w:val="Prrafodelista"/>
              <w:widowControl/>
              <w:numPr>
                <w:ilvl w:val="0"/>
                <w:numId w:val="18"/>
              </w:numPr>
              <w:autoSpaceDE/>
              <w:autoSpaceDN/>
              <w:spacing w:after="5"/>
              <w:contextualSpacing/>
              <w:jc w:val="both"/>
              <w:rPr>
                <w:rFonts w:ascii="Garamond" w:eastAsia="Batang" w:hAnsi="Garamond" w:cs="Arial"/>
                <w:color w:val="000000" w:themeColor="text1"/>
              </w:rPr>
            </w:pPr>
            <w:r w:rsidRPr="000113B8">
              <w:rPr>
                <w:rFonts w:ascii="Garamond" w:eastAsia="Batang" w:hAnsi="Garamond" w:cs="Arial"/>
                <w:color w:val="000000" w:themeColor="text1"/>
              </w:rPr>
              <w:t>Tomar las medidas necesarias para salvaguardar o para reducir el impacto ante la materialización del siniestro.</w:t>
            </w:r>
          </w:p>
          <w:p w14:paraId="4DAD2260" w14:textId="77777777" w:rsidR="003A4B1F" w:rsidRPr="000113B8" w:rsidRDefault="00A502A1" w:rsidP="00C54B99">
            <w:pPr>
              <w:pStyle w:val="Prrafodelista"/>
              <w:widowControl/>
              <w:numPr>
                <w:ilvl w:val="0"/>
                <w:numId w:val="18"/>
              </w:numPr>
              <w:autoSpaceDE/>
              <w:autoSpaceDN/>
              <w:spacing w:after="5"/>
              <w:contextualSpacing/>
              <w:jc w:val="both"/>
              <w:rPr>
                <w:rFonts w:ascii="Garamond" w:eastAsia="Batang" w:hAnsi="Garamond" w:cs="Arial"/>
                <w:color w:val="000000" w:themeColor="text1"/>
              </w:rPr>
            </w:pPr>
            <w:r w:rsidRPr="000113B8">
              <w:rPr>
                <w:rFonts w:ascii="Garamond" w:eastAsia="Batang" w:hAnsi="Garamond" w:cs="Arial"/>
                <w:color w:val="000000" w:themeColor="text1"/>
              </w:rPr>
              <w:t>Dar aviso del siniestro a la aseguradora dentro del plazo estipulado por la Ley (artículo 1076 Código de Comercio) y/o las condiciones particulares pactadas por las partes.</w:t>
            </w:r>
          </w:p>
          <w:p w14:paraId="00D57048" w14:textId="77777777" w:rsidR="003A4B1F" w:rsidRPr="000113B8" w:rsidRDefault="00A502A1" w:rsidP="00C54B99">
            <w:pPr>
              <w:pStyle w:val="Prrafodelista"/>
              <w:widowControl/>
              <w:numPr>
                <w:ilvl w:val="0"/>
                <w:numId w:val="18"/>
              </w:numPr>
              <w:autoSpaceDE/>
              <w:autoSpaceDN/>
              <w:spacing w:after="5"/>
              <w:contextualSpacing/>
              <w:jc w:val="both"/>
              <w:rPr>
                <w:rFonts w:ascii="Garamond" w:eastAsia="Batang" w:hAnsi="Garamond" w:cs="Arial"/>
                <w:color w:val="000000" w:themeColor="text1"/>
              </w:rPr>
            </w:pPr>
            <w:r w:rsidRPr="000113B8">
              <w:rPr>
                <w:rFonts w:ascii="Garamond" w:eastAsia="Batang" w:hAnsi="Garamond" w:cs="Arial"/>
                <w:color w:val="000000" w:themeColor="text1"/>
              </w:rPr>
              <w:t>Probar la ocurrencia y la cuantía del siniestro.</w:t>
            </w:r>
          </w:p>
          <w:p w14:paraId="37CA2A80" w14:textId="6C89E2FA" w:rsidR="00A502A1" w:rsidRPr="000113B8" w:rsidRDefault="00A502A1" w:rsidP="00C54B99">
            <w:pPr>
              <w:pStyle w:val="Prrafodelista"/>
              <w:widowControl/>
              <w:numPr>
                <w:ilvl w:val="0"/>
                <w:numId w:val="18"/>
              </w:numPr>
              <w:autoSpaceDE/>
              <w:autoSpaceDN/>
              <w:spacing w:after="5"/>
              <w:contextualSpacing/>
              <w:jc w:val="both"/>
              <w:rPr>
                <w:rFonts w:ascii="Garamond" w:eastAsia="Batang" w:hAnsi="Garamond" w:cs="Arial"/>
                <w:color w:val="000000" w:themeColor="text1"/>
              </w:rPr>
            </w:pPr>
            <w:r w:rsidRPr="000113B8">
              <w:rPr>
                <w:rFonts w:ascii="Garamond" w:eastAsia="Batang" w:hAnsi="Garamond" w:cs="Arial"/>
                <w:color w:val="000000" w:themeColor="text1"/>
              </w:rPr>
              <w:t>Realizar todas las acciones necesarias para garantizar a la empresa de seguros el ejercicio de su derecho de subrogación de acuerdo con las condiciones pactadas para cada seguro.</w:t>
            </w:r>
          </w:p>
        </w:tc>
      </w:tr>
      <w:tr w:rsidR="009A7F8F" w:rsidRPr="000113B8" w14:paraId="06B12634" w14:textId="77777777" w:rsidTr="00EC7684">
        <w:trPr>
          <w:jc w:val="center"/>
        </w:trPr>
        <w:tc>
          <w:tcPr>
            <w:tcW w:w="2133" w:type="dxa"/>
            <w:vAlign w:val="center"/>
            <w:hideMark/>
          </w:tcPr>
          <w:p w14:paraId="1A2B6E7B" w14:textId="77777777" w:rsidR="00A502A1" w:rsidRPr="000113B8" w:rsidRDefault="00A502A1" w:rsidP="00EC7684">
            <w:pPr>
              <w:contextualSpacing/>
              <w:jc w:val="both"/>
              <w:rPr>
                <w:rFonts w:ascii="Garamond" w:eastAsia="Batang" w:hAnsi="Garamond" w:cs="Arial"/>
                <w:b/>
                <w:bCs/>
                <w:color w:val="000000" w:themeColor="text1"/>
              </w:rPr>
            </w:pPr>
            <w:r w:rsidRPr="000113B8">
              <w:rPr>
                <w:rFonts w:ascii="Garamond" w:eastAsia="Batang" w:hAnsi="Garamond" w:cs="Arial"/>
                <w:b/>
                <w:bCs/>
                <w:color w:val="000000" w:themeColor="text1"/>
              </w:rPr>
              <w:t>Obligaciones de las Empresas de Seguros</w:t>
            </w:r>
          </w:p>
        </w:tc>
        <w:tc>
          <w:tcPr>
            <w:tcW w:w="6702" w:type="dxa"/>
            <w:vAlign w:val="center"/>
            <w:hideMark/>
          </w:tcPr>
          <w:p w14:paraId="0F3A22BA" w14:textId="77777777" w:rsidR="00A502A1" w:rsidRPr="000113B8" w:rsidRDefault="00A502A1" w:rsidP="00EC7684">
            <w:pPr>
              <w:contextualSpacing/>
              <w:jc w:val="both"/>
              <w:rPr>
                <w:rFonts w:ascii="Garamond" w:eastAsia="Batang" w:hAnsi="Garamond" w:cs="Arial"/>
                <w:color w:val="000000" w:themeColor="text1"/>
              </w:rPr>
            </w:pPr>
            <w:r w:rsidRPr="000113B8">
              <w:rPr>
                <w:rFonts w:ascii="Garamond" w:eastAsia="Batang" w:hAnsi="Garamond" w:cs="Arial"/>
                <w:color w:val="000000" w:themeColor="text1"/>
              </w:rPr>
              <w:t>Son obligaciones de las empresas de seguros:</w:t>
            </w:r>
          </w:p>
          <w:p w14:paraId="4452FC55" w14:textId="77777777" w:rsidR="00A502A1" w:rsidRPr="000113B8" w:rsidRDefault="00A502A1" w:rsidP="00EC7684">
            <w:pPr>
              <w:contextualSpacing/>
              <w:jc w:val="both"/>
              <w:rPr>
                <w:rFonts w:ascii="Garamond" w:eastAsia="Batang" w:hAnsi="Garamond" w:cs="Arial"/>
                <w:color w:val="000000" w:themeColor="text1"/>
              </w:rPr>
            </w:pPr>
          </w:p>
          <w:p w14:paraId="7010B5CB" w14:textId="77777777" w:rsidR="003A4B1F" w:rsidRPr="000113B8" w:rsidRDefault="00A502A1" w:rsidP="00C54B99">
            <w:pPr>
              <w:pStyle w:val="Prrafodelista"/>
              <w:numPr>
                <w:ilvl w:val="0"/>
                <w:numId w:val="21"/>
              </w:numPr>
              <w:autoSpaceDE/>
              <w:autoSpaceDN/>
              <w:contextualSpacing/>
              <w:jc w:val="both"/>
              <w:rPr>
                <w:rFonts w:ascii="Garamond" w:eastAsia="Batang" w:hAnsi="Garamond" w:cs="Arial"/>
                <w:color w:val="000000" w:themeColor="text1"/>
              </w:rPr>
            </w:pPr>
            <w:r w:rsidRPr="000113B8">
              <w:rPr>
                <w:rFonts w:ascii="Garamond" w:eastAsia="Batang" w:hAnsi="Garamond" w:cs="Arial"/>
                <w:color w:val="000000" w:themeColor="text1"/>
              </w:rPr>
              <w:t>Informar al tomador, mediante la entrega de la póliza y demás documentos, la extensión de los riesgos asumidos y aclarar, en cualquier tiempo, cualquier duda que éste le formule.</w:t>
            </w:r>
          </w:p>
          <w:p w14:paraId="2C02E8FE" w14:textId="1FED5CE0" w:rsidR="00A502A1" w:rsidRPr="000113B8" w:rsidRDefault="00A502A1" w:rsidP="00C54B99">
            <w:pPr>
              <w:pStyle w:val="Prrafodelista"/>
              <w:numPr>
                <w:ilvl w:val="0"/>
                <w:numId w:val="21"/>
              </w:numPr>
              <w:autoSpaceDE/>
              <w:autoSpaceDN/>
              <w:contextualSpacing/>
              <w:jc w:val="both"/>
              <w:rPr>
                <w:rFonts w:ascii="Garamond" w:eastAsia="Batang" w:hAnsi="Garamond" w:cs="Arial"/>
                <w:color w:val="000000" w:themeColor="text1"/>
              </w:rPr>
            </w:pPr>
            <w:r w:rsidRPr="000113B8">
              <w:rPr>
                <w:rFonts w:ascii="Garamond" w:eastAsia="Batang" w:hAnsi="Garamond" w:cs="Arial"/>
                <w:color w:val="000000" w:themeColor="text1"/>
              </w:rPr>
              <w:t>Pagar la suma asegurada o la indemnización que corresponda en caso de siniestro en los plazos establecidos en la Ley del Contrato de seguro o rechazar, mediante escrito debidamente motivado, la cobertura del siniestro.</w:t>
            </w:r>
          </w:p>
        </w:tc>
      </w:tr>
    </w:tbl>
    <w:p w14:paraId="551348C5" w14:textId="77777777" w:rsidR="00A502A1" w:rsidRPr="000113B8" w:rsidRDefault="00A502A1" w:rsidP="00A502A1">
      <w:pPr>
        <w:jc w:val="center"/>
        <w:rPr>
          <w:rFonts w:ascii="Garamond" w:eastAsia="Batang" w:hAnsi="Garamond" w:cs="Arial"/>
          <w:bCs/>
          <w:color w:val="000000" w:themeColor="text1"/>
        </w:rPr>
      </w:pPr>
      <w:bookmarkStart w:id="15" w:name="_Hlk210184969"/>
      <w:r w:rsidRPr="000113B8">
        <w:rPr>
          <w:rFonts w:ascii="Garamond" w:eastAsia="Batang" w:hAnsi="Garamond" w:cs="Arial"/>
          <w:bCs/>
          <w:color w:val="000000" w:themeColor="text1"/>
        </w:rPr>
        <w:t xml:space="preserve">Fuente: Elaboración intermediario de seguros de la entidad </w:t>
      </w:r>
      <w:bookmarkEnd w:id="15"/>
      <w:r w:rsidRPr="000113B8">
        <w:rPr>
          <w:rFonts w:ascii="Garamond" w:eastAsia="Batang" w:hAnsi="Garamond" w:cs="Arial"/>
          <w:bCs/>
          <w:color w:val="000000" w:themeColor="text1"/>
        </w:rPr>
        <w:t>JARGU S.A. CORREDORES DE SEGUROS</w:t>
      </w:r>
    </w:p>
    <w:p w14:paraId="5FDB8A07" w14:textId="77777777" w:rsidR="00A502A1" w:rsidRPr="000113B8" w:rsidRDefault="00A502A1" w:rsidP="00A502A1">
      <w:pPr>
        <w:jc w:val="both"/>
        <w:rPr>
          <w:rFonts w:ascii="Garamond" w:hAnsi="Garamond"/>
          <w:color w:val="000000" w:themeColor="text1"/>
        </w:rPr>
      </w:pPr>
    </w:p>
    <w:p w14:paraId="044B0DEE" w14:textId="77777777" w:rsidR="00A502A1" w:rsidRPr="000113B8" w:rsidRDefault="00A502A1" w:rsidP="00A502A1">
      <w:pPr>
        <w:contextualSpacing/>
        <w:jc w:val="both"/>
        <w:rPr>
          <w:rFonts w:ascii="Garamond" w:hAnsi="Garamond" w:cs="Arial"/>
          <w:color w:val="000000" w:themeColor="text1"/>
        </w:rPr>
      </w:pPr>
      <w:r w:rsidRPr="000113B8">
        <w:rPr>
          <w:rFonts w:ascii="Garamond" w:hAnsi="Garamond" w:cs="Arial"/>
          <w:color w:val="000000" w:themeColor="text1"/>
        </w:rPr>
        <w:t xml:space="preserve">Las empresas de Seguros deben suministrar la póliza, o al menos, el documento de cobertura provisional, el cuadro recibo o recibo de prima al tomador en el momento de la celebración del contrato. En las modalidades de seguro en que por disposiciones especiales emitidas por la Superintendencia Financiera no se exija la emisión de la póliza, la empresa de seguros estará obligada a entregar el documento que en estas disposiciones se </w:t>
      </w:r>
      <w:r w:rsidRPr="000113B8">
        <w:rPr>
          <w:rFonts w:ascii="Garamond" w:hAnsi="Garamond" w:cs="Arial"/>
          <w:color w:val="000000" w:themeColor="text1"/>
        </w:rPr>
        <w:lastRenderedPageBreak/>
        <w:t>establezcan.</w:t>
      </w:r>
    </w:p>
    <w:p w14:paraId="4E621FB4" w14:textId="77777777" w:rsidR="00A502A1" w:rsidRPr="000113B8" w:rsidRDefault="00A502A1" w:rsidP="00A502A1">
      <w:pPr>
        <w:contextualSpacing/>
        <w:jc w:val="both"/>
        <w:rPr>
          <w:rFonts w:ascii="Garamond" w:hAnsi="Garamond" w:cs="Arial"/>
          <w:color w:val="000000" w:themeColor="text1"/>
        </w:rPr>
      </w:pPr>
    </w:p>
    <w:p w14:paraId="256717BB" w14:textId="77777777" w:rsidR="00A502A1" w:rsidRPr="000113B8" w:rsidRDefault="00A502A1" w:rsidP="00A502A1">
      <w:pPr>
        <w:contextualSpacing/>
        <w:jc w:val="both"/>
        <w:rPr>
          <w:rFonts w:ascii="Garamond" w:hAnsi="Garamond" w:cs="Arial"/>
          <w:color w:val="000000" w:themeColor="text1"/>
        </w:rPr>
      </w:pPr>
      <w:r w:rsidRPr="000113B8">
        <w:rPr>
          <w:rFonts w:ascii="Garamond" w:hAnsi="Garamond" w:cs="Arial"/>
          <w:color w:val="000000" w:themeColor="text1"/>
        </w:rPr>
        <w:t>La empresa de seguros debe suministrar la póliza al tomador dentro de los quince (15) días hábiles siguientes a la entrega de la cobertura provisional. La empresa de seguros debe entregar, así mismo, a solicitud y a costa del interesado, duplicados o copias de la póliza. La empresa de seguros deberá dejar constancia de que ha cumplido con esta obligación.</w:t>
      </w:r>
    </w:p>
    <w:p w14:paraId="7F062484" w14:textId="77777777" w:rsidR="00A502A1" w:rsidRPr="000113B8" w:rsidRDefault="00A502A1" w:rsidP="00A502A1">
      <w:pPr>
        <w:contextualSpacing/>
        <w:jc w:val="both"/>
        <w:rPr>
          <w:rFonts w:ascii="Garamond" w:hAnsi="Garamond" w:cs="Arial"/>
          <w:color w:val="000000" w:themeColor="text1"/>
        </w:rPr>
      </w:pPr>
    </w:p>
    <w:p w14:paraId="29B3D603" w14:textId="77777777" w:rsidR="00A502A1" w:rsidRPr="000113B8" w:rsidRDefault="00A502A1" w:rsidP="00A502A1">
      <w:pPr>
        <w:pStyle w:val="Textoindependiente"/>
        <w:jc w:val="center"/>
        <w:rPr>
          <w:rFonts w:ascii="Garamond" w:hAnsi="Garamond"/>
          <w:b/>
          <w:color w:val="000000" w:themeColor="text1"/>
        </w:rPr>
      </w:pPr>
      <w:r w:rsidRPr="000113B8">
        <w:rPr>
          <w:rFonts w:ascii="Garamond" w:hAnsi="Garamond"/>
          <w:b/>
          <w:noProof/>
          <w:color w:val="000000" w:themeColor="text1"/>
        </w:rPr>
        <w:drawing>
          <wp:inline distT="0" distB="0" distL="0" distR="0" wp14:anchorId="25A1CF6C" wp14:editId="4BE5FE5C">
            <wp:extent cx="3657600" cy="1905000"/>
            <wp:effectExtent l="38100" t="38100" r="38100" b="38100"/>
            <wp:docPr id="1094334784" name="Imagen 22"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descr="Diagrama&#10;&#10;El contenido generado por IA puede ser incorrecto."/>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657600" cy="1905000"/>
                    </a:xfrm>
                    <a:prstGeom prst="rect">
                      <a:avLst/>
                    </a:prstGeom>
                    <a:noFill/>
                    <a:ln w="38100" cmpd="sng">
                      <a:solidFill>
                        <a:srgbClr val="000000"/>
                      </a:solidFill>
                      <a:miter lim="800000"/>
                      <a:headEnd/>
                      <a:tailEnd/>
                    </a:ln>
                    <a:effectLst/>
                  </pic:spPr>
                </pic:pic>
              </a:graphicData>
            </a:graphic>
          </wp:inline>
        </w:drawing>
      </w:r>
    </w:p>
    <w:p w14:paraId="732606E1" w14:textId="77777777" w:rsidR="00A502A1" w:rsidRPr="000113B8" w:rsidRDefault="00A502A1" w:rsidP="00A502A1">
      <w:pPr>
        <w:jc w:val="center"/>
        <w:rPr>
          <w:rFonts w:ascii="Garamond" w:eastAsia="Batang" w:hAnsi="Garamond" w:cs="Arial"/>
          <w:bCs/>
          <w:color w:val="000000" w:themeColor="text1"/>
        </w:rPr>
      </w:pPr>
      <w:r w:rsidRPr="000113B8">
        <w:rPr>
          <w:rFonts w:ascii="Garamond" w:eastAsia="Batang" w:hAnsi="Garamond" w:cs="Arial"/>
          <w:bCs/>
          <w:color w:val="000000" w:themeColor="text1"/>
        </w:rPr>
        <w:t>Fuente: Elaboración intermediario de seguros de la entidad JARGU S.A. CORREDORES DE SEGUROS</w:t>
      </w:r>
    </w:p>
    <w:p w14:paraId="14E2E51F" w14:textId="77777777" w:rsidR="00A502A1" w:rsidRPr="000113B8" w:rsidRDefault="00A502A1" w:rsidP="00A502A1">
      <w:pPr>
        <w:jc w:val="center"/>
        <w:rPr>
          <w:rFonts w:ascii="Garamond" w:eastAsia="Batang" w:hAnsi="Garamond" w:cs="Arial"/>
          <w:bCs/>
          <w:color w:val="000000" w:themeColor="text1"/>
        </w:rPr>
      </w:pPr>
    </w:p>
    <w:p w14:paraId="5F7C81A5" w14:textId="363ED4FC" w:rsidR="00A502A1" w:rsidRPr="000113B8" w:rsidRDefault="00A502A1" w:rsidP="00C54B99">
      <w:pPr>
        <w:pStyle w:val="Prrafodelista"/>
        <w:widowControl/>
        <w:numPr>
          <w:ilvl w:val="1"/>
          <w:numId w:val="2"/>
        </w:numPr>
        <w:autoSpaceDE/>
        <w:autoSpaceDN/>
        <w:spacing w:after="200"/>
        <w:contextualSpacing/>
        <w:jc w:val="both"/>
        <w:rPr>
          <w:rFonts w:ascii="Garamond" w:eastAsia="Batang" w:hAnsi="Garamond" w:cs="Arial"/>
          <w:bCs/>
          <w:color w:val="000000" w:themeColor="text1"/>
        </w:rPr>
      </w:pPr>
      <w:r w:rsidRPr="000113B8">
        <w:rPr>
          <w:rFonts w:ascii="Garamond" w:hAnsi="Garamond" w:cs="Arial"/>
          <w:b/>
          <w:bCs/>
          <w:color w:val="000000" w:themeColor="text1"/>
        </w:rPr>
        <w:t>Normatividad Técnica Aplicable</w:t>
      </w:r>
    </w:p>
    <w:p w14:paraId="4686774D" w14:textId="77777777" w:rsidR="00A502A1" w:rsidRPr="000113B8" w:rsidRDefault="00A502A1" w:rsidP="00A502A1">
      <w:pPr>
        <w:jc w:val="both"/>
        <w:rPr>
          <w:rFonts w:ascii="Garamond" w:hAnsi="Garamond" w:cs="Arial"/>
          <w:color w:val="000000" w:themeColor="text1"/>
          <w:lang w:val="es-ES_tradnl" w:eastAsia="es-CO"/>
        </w:rPr>
      </w:pPr>
      <w:r w:rsidRPr="000113B8">
        <w:rPr>
          <w:rFonts w:ascii="Garamond" w:hAnsi="Garamond" w:cs="Arial"/>
          <w:color w:val="000000" w:themeColor="text1"/>
          <w:lang w:val="es-ES_tradnl" w:eastAsia="es-CO"/>
        </w:rPr>
        <w:t>La actividad aseguradora tiene gran importancia estratégica, social y económica lo cual conlleva a que estén sometidas a estricta supervisión administrativa con reglas propias de funcionamiento, control e inspección, como también al control estatal a través de las legislaciones y superintendencia creada para tal fin. Las empresas de seguros actúan como intermediarios financieros con unas características especiales que las diferencian de las restantes empresas financieras.</w:t>
      </w:r>
    </w:p>
    <w:p w14:paraId="2F9B8F14" w14:textId="77777777" w:rsidR="00A502A1" w:rsidRPr="000113B8" w:rsidRDefault="00A502A1" w:rsidP="00A502A1">
      <w:pPr>
        <w:jc w:val="both"/>
        <w:rPr>
          <w:rFonts w:ascii="Garamond" w:hAnsi="Garamond" w:cs="Arial"/>
          <w:color w:val="000000" w:themeColor="text1"/>
          <w:lang w:val="es-ES_tradnl" w:eastAsia="es-CO"/>
        </w:rPr>
      </w:pPr>
    </w:p>
    <w:p w14:paraId="7DCCBE64" w14:textId="77777777" w:rsidR="00A502A1" w:rsidRPr="000113B8" w:rsidRDefault="00A502A1" w:rsidP="00A502A1">
      <w:pPr>
        <w:jc w:val="both"/>
        <w:rPr>
          <w:rFonts w:ascii="Garamond" w:hAnsi="Garamond" w:cs="Arial"/>
          <w:color w:val="000000" w:themeColor="text1"/>
          <w:lang w:val="es-ES_tradnl" w:eastAsia="es-CO"/>
        </w:rPr>
      </w:pPr>
      <w:r w:rsidRPr="000113B8">
        <w:rPr>
          <w:rFonts w:ascii="Garamond" w:hAnsi="Garamond" w:cs="Arial"/>
          <w:color w:val="000000" w:themeColor="text1"/>
          <w:lang w:val="es-ES_tradnl" w:eastAsia="es-CO"/>
        </w:rPr>
        <w:t>Una aseguradora es la empresa especializada en el seguro cuya actividad consiste en producir el servicio de seguridad, cubriendo determinados riesgos económicos (asegurables) a las unidades económicas de producción y consumo. Para poder afrontar los riesgos derivados de su actividad, las entidades aseguradoras deben disponer de los recursos financieros suficientes y, en consecuencia, la legislación les impone determinadas restricciones, entre ellas, la prohibición de desarrollar esta actividad por personas naturales; de ejercer actividades distintas al ramo por las empresas aseguradoras; y estar sometidas al control por el Estado en todo momento.</w:t>
      </w:r>
    </w:p>
    <w:p w14:paraId="32B0F126" w14:textId="77777777" w:rsidR="00A502A1" w:rsidRPr="000113B8" w:rsidRDefault="00A502A1" w:rsidP="00A502A1">
      <w:pPr>
        <w:jc w:val="both"/>
        <w:rPr>
          <w:rFonts w:ascii="Garamond" w:hAnsi="Garamond" w:cs="Arial"/>
          <w:color w:val="000000" w:themeColor="text1"/>
          <w:lang w:val="es-ES_tradnl" w:eastAsia="es-CO"/>
        </w:rPr>
      </w:pPr>
    </w:p>
    <w:p w14:paraId="49200B28" w14:textId="77777777" w:rsidR="00A502A1" w:rsidRPr="000113B8" w:rsidRDefault="00A502A1" w:rsidP="00A502A1">
      <w:pPr>
        <w:jc w:val="both"/>
        <w:rPr>
          <w:rFonts w:ascii="Garamond" w:hAnsi="Garamond" w:cs="Arial"/>
          <w:color w:val="000000" w:themeColor="text1"/>
          <w:lang w:val="es-ES_tradnl" w:eastAsia="es-CO"/>
        </w:rPr>
      </w:pPr>
      <w:r w:rsidRPr="000113B8">
        <w:rPr>
          <w:rFonts w:ascii="Garamond" w:hAnsi="Garamond" w:cs="Arial"/>
          <w:color w:val="000000" w:themeColor="text1"/>
          <w:lang w:val="es-ES_tradnl" w:eastAsia="es-CO"/>
        </w:rPr>
        <w:t>La actividad que desempeña la aseguradora es la de una operación con ánimo de lucro, a través de las aportaciones de muchos sujetos expuestos a eventos económicos desfavorables, para destinar lo así acumulado, a los pocos a quienes se presenta la necesidad. Sigue el principio de mutualidad, buscando la solidaridad entre un grupo sometido a riesgos. Esta mutualidad se organiza empresarialmente creando un patrimonio que haga frente a los riesgos. El efecto desfavorable de estos riesgos en su conjunto queda aminorado sustancialmente, porque los riesgos individuales se compensan: sólo unos pocos asegurados los sufren, frente a los muchos que contribuyen al pago de la cobertura. Ello permite una gestión estadística del riesgo, desde el punto de vista económico, aunque se conserve individualmente desde el punto de vista jurídico.</w:t>
      </w:r>
    </w:p>
    <w:p w14:paraId="6D58DAE4" w14:textId="77777777" w:rsidR="00A502A1" w:rsidRPr="000113B8" w:rsidRDefault="00A502A1" w:rsidP="00A502A1">
      <w:pPr>
        <w:jc w:val="both"/>
        <w:rPr>
          <w:rFonts w:ascii="Garamond" w:hAnsi="Garamond" w:cs="Arial"/>
          <w:color w:val="000000" w:themeColor="text1"/>
          <w:lang w:val="es-ES_tradnl" w:eastAsia="es-CO"/>
        </w:rPr>
      </w:pPr>
    </w:p>
    <w:p w14:paraId="04D2431C" w14:textId="77777777" w:rsidR="00A502A1" w:rsidRPr="000113B8" w:rsidRDefault="00A502A1" w:rsidP="00A502A1">
      <w:pPr>
        <w:jc w:val="both"/>
        <w:rPr>
          <w:rFonts w:ascii="Garamond" w:hAnsi="Garamond" w:cs="Arial"/>
          <w:color w:val="000000" w:themeColor="text1"/>
          <w:lang w:val="es-ES_tradnl" w:eastAsia="es-CO"/>
        </w:rPr>
      </w:pPr>
      <w:r w:rsidRPr="000113B8">
        <w:rPr>
          <w:rFonts w:ascii="Garamond" w:hAnsi="Garamond" w:cs="Arial"/>
          <w:color w:val="000000" w:themeColor="text1"/>
          <w:lang w:val="es-ES_tradnl" w:eastAsia="es-CO"/>
        </w:rPr>
        <w:t>Por lo tanto, las entidades de seguro deben tener presente ciertos principios técnicos:</w:t>
      </w:r>
    </w:p>
    <w:p w14:paraId="11653A67" w14:textId="77777777" w:rsidR="00A502A1" w:rsidRPr="000113B8" w:rsidRDefault="00A502A1" w:rsidP="00A502A1">
      <w:pPr>
        <w:jc w:val="both"/>
        <w:rPr>
          <w:rFonts w:ascii="Garamond" w:hAnsi="Garamond" w:cs="Arial"/>
          <w:color w:val="000000" w:themeColor="text1"/>
          <w:lang w:val="es-ES_tradnl" w:eastAsia="es-CO"/>
        </w:rPr>
      </w:pPr>
    </w:p>
    <w:p w14:paraId="737E41DA" w14:textId="77777777" w:rsidR="00A502A1" w:rsidRPr="000113B8" w:rsidRDefault="00A502A1" w:rsidP="00C54B99">
      <w:pPr>
        <w:widowControl/>
        <w:numPr>
          <w:ilvl w:val="0"/>
          <w:numId w:val="19"/>
        </w:numPr>
        <w:autoSpaceDE/>
        <w:autoSpaceDN/>
        <w:contextualSpacing/>
        <w:jc w:val="both"/>
        <w:rPr>
          <w:rFonts w:ascii="Garamond" w:hAnsi="Garamond" w:cs="Arial"/>
          <w:color w:val="000000" w:themeColor="text1"/>
          <w:lang w:val="es-ES_tradnl" w:eastAsia="es-CO"/>
        </w:rPr>
      </w:pPr>
      <w:r w:rsidRPr="000113B8">
        <w:rPr>
          <w:rFonts w:ascii="Garamond" w:hAnsi="Garamond" w:cs="Arial"/>
          <w:b/>
          <w:bCs/>
          <w:color w:val="000000" w:themeColor="text1"/>
          <w:lang w:val="es-ES_tradnl" w:eastAsia="es-CO"/>
        </w:rPr>
        <w:t>La Individualización:</w:t>
      </w:r>
      <w:r w:rsidRPr="000113B8">
        <w:rPr>
          <w:rFonts w:ascii="Garamond" w:hAnsi="Garamond" w:cs="Arial"/>
          <w:color w:val="000000" w:themeColor="text1"/>
          <w:lang w:val="es-ES_tradnl" w:eastAsia="es-CO"/>
        </w:rPr>
        <w:t xml:space="preserve"> es necesaria la definición y delimitación de cada uno de los riesgos existentes para clasificarlos y poder evaluarlos y agruparlos. </w:t>
      </w:r>
    </w:p>
    <w:p w14:paraId="4DB1507D" w14:textId="77777777" w:rsidR="00A502A1" w:rsidRPr="000113B8" w:rsidRDefault="00A502A1" w:rsidP="00C54B99">
      <w:pPr>
        <w:widowControl/>
        <w:numPr>
          <w:ilvl w:val="0"/>
          <w:numId w:val="19"/>
        </w:numPr>
        <w:autoSpaceDE/>
        <w:autoSpaceDN/>
        <w:contextualSpacing/>
        <w:jc w:val="both"/>
        <w:rPr>
          <w:rFonts w:ascii="Garamond" w:hAnsi="Garamond" w:cs="Arial"/>
          <w:color w:val="000000" w:themeColor="text1"/>
          <w:lang w:val="es-ES_tradnl" w:eastAsia="es-CO"/>
        </w:rPr>
      </w:pPr>
      <w:r w:rsidRPr="000113B8">
        <w:rPr>
          <w:rFonts w:ascii="Garamond" w:hAnsi="Garamond" w:cs="Arial"/>
          <w:b/>
          <w:bCs/>
          <w:color w:val="000000" w:themeColor="text1"/>
          <w:lang w:val="es-ES_tradnl" w:eastAsia="es-CO"/>
        </w:rPr>
        <w:t>La acumulación:</w:t>
      </w:r>
      <w:r w:rsidRPr="000113B8">
        <w:rPr>
          <w:rFonts w:ascii="Garamond" w:hAnsi="Garamond" w:cs="Arial"/>
          <w:color w:val="000000" w:themeColor="text1"/>
          <w:lang w:val="es-ES_tradnl" w:eastAsia="es-CO"/>
        </w:rPr>
        <w:t xml:space="preserve"> de acuerdo con las leyes de la probabilidad, cuanto mayor es la agrupación de riesgos, menores son los fallos entre la probabilidad teórica y el número de siniestros.</w:t>
      </w:r>
    </w:p>
    <w:p w14:paraId="2669B4D6" w14:textId="77777777" w:rsidR="00A502A1" w:rsidRPr="000113B8" w:rsidRDefault="00A502A1" w:rsidP="00C54B99">
      <w:pPr>
        <w:widowControl/>
        <w:numPr>
          <w:ilvl w:val="0"/>
          <w:numId w:val="19"/>
        </w:numPr>
        <w:autoSpaceDE/>
        <w:autoSpaceDN/>
        <w:contextualSpacing/>
        <w:jc w:val="both"/>
        <w:rPr>
          <w:rFonts w:ascii="Garamond" w:hAnsi="Garamond" w:cs="Arial"/>
          <w:color w:val="000000" w:themeColor="text1"/>
          <w:lang w:val="es-ES_tradnl" w:eastAsia="es-CO"/>
        </w:rPr>
      </w:pPr>
      <w:r w:rsidRPr="000113B8">
        <w:rPr>
          <w:rFonts w:ascii="Garamond" w:hAnsi="Garamond" w:cs="Arial"/>
          <w:b/>
          <w:bCs/>
          <w:color w:val="000000" w:themeColor="text1"/>
          <w:lang w:val="es-ES_tradnl" w:eastAsia="es-CO"/>
        </w:rPr>
        <w:t>La selección de riesgos:</w:t>
      </w:r>
      <w:r w:rsidRPr="000113B8">
        <w:rPr>
          <w:rFonts w:ascii="Garamond" w:hAnsi="Garamond" w:cs="Arial"/>
          <w:color w:val="000000" w:themeColor="text1"/>
          <w:lang w:val="es-ES_tradnl" w:eastAsia="es-CO"/>
        </w:rPr>
        <w:t xml:space="preserve"> los aseguradores solo deben aceptar los riesgos que, por su naturaleza, se presuma no originarán necesariamente resultados desequilibrados. </w:t>
      </w:r>
    </w:p>
    <w:p w14:paraId="404B3F06" w14:textId="77777777" w:rsidR="00A502A1" w:rsidRPr="000113B8" w:rsidRDefault="00A502A1" w:rsidP="00C54B99">
      <w:pPr>
        <w:widowControl/>
        <w:numPr>
          <w:ilvl w:val="0"/>
          <w:numId w:val="19"/>
        </w:numPr>
        <w:autoSpaceDE/>
        <w:autoSpaceDN/>
        <w:contextualSpacing/>
        <w:jc w:val="both"/>
        <w:rPr>
          <w:rFonts w:ascii="Garamond" w:hAnsi="Garamond" w:cs="Arial"/>
          <w:color w:val="000000" w:themeColor="text1"/>
          <w:lang w:val="es-ES_tradnl" w:eastAsia="es-CO"/>
        </w:rPr>
      </w:pPr>
      <w:r w:rsidRPr="000113B8">
        <w:rPr>
          <w:rFonts w:ascii="Garamond" w:hAnsi="Garamond" w:cs="Arial"/>
          <w:b/>
          <w:bCs/>
          <w:color w:val="000000" w:themeColor="text1"/>
          <w:lang w:val="es-ES_tradnl" w:eastAsia="es-CO"/>
        </w:rPr>
        <w:t>La distribución o división de riesgos:</w:t>
      </w:r>
      <w:r w:rsidRPr="000113B8">
        <w:rPr>
          <w:rFonts w:ascii="Garamond" w:hAnsi="Garamond" w:cs="Arial"/>
          <w:color w:val="000000" w:themeColor="text1"/>
          <w:lang w:val="es-ES_tradnl" w:eastAsia="es-CO"/>
        </w:rPr>
        <w:t xml:space="preserve"> la aseguradora requiere la necesidad de conseguir que los riesgos que asume, en virtud de los contratos de seguro, sean homogéneos cualitativa y cuantitativamente, de forma que se cumpla el principio mutual o de compensación.</w:t>
      </w:r>
    </w:p>
    <w:p w14:paraId="21BD9562" w14:textId="77777777" w:rsidR="00A502A1" w:rsidRPr="000113B8" w:rsidRDefault="00A502A1" w:rsidP="00A502A1">
      <w:pPr>
        <w:ind w:left="720"/>
        <w:contextualSpacing/>
        <w:jc w:val="both"/>
        <w:rPr>
          <w:rFonts w:ascii="Garamond" w:hAnsi="Garamond" w:cs="Arial"/>
          <w:color w:val="000000" w:themeColor="text1"/>
          <w:lang w:val="es-ES_tradnl" w:eastAsia="es-CO"/>
        </w:rPr>
      </w:pPr>
    </w:p>
    <w:p w14:paraId="0118A008" w14:textId="77777777" w:rsidR="00A502A1" w:rsidRPr="000113B8" w:rsidRDefault="00A502A1" w:rsidP="00A502A1">
      <w:pPr>
        <w:jc w:val="both"/>
        <w:rPr>
          <w:rFonts w:ascii="Garamond" w:hAnsi="Garamond" w:cs="Arial"/>
          <w:color w:val="000000" w:themeColor="text1"/>
          <w:lang w:val="es-ES_tradnl" w:eastAsia="es-CO"/>
        </w:rPr>
      </w:pPr>
      <w:r w:rsidRPr="000113B8">
        <w:rPr>
          <w:rFonts w:ascii="Garamond" w:hAnsi="Garamond" w:cs="Arial"/>
          <w:color w:val="000000" w:themeColor="text1"/>
          <w:lang w:val="es-ES_tradnl" w:eastAsia="es-CO"/>
        </w:rPr>
        <w:t>Desde el punto de vista económico financiero, las empresas aseguradoras son intermediarios financieros que emiten, como activo financiero específico, las pólizas o contratos de seguros, obteniendo financiación mediante el cobro del precio o prima del seguro, y constituyen las oportunas reservas o provisiones técnicas (operaciones pasivas) a la espera de que se realice el pago de la indemnización o prestación garantizada (suma asegurada), por alguna contingencia ocurrida o por estimación de su posible ocurrencia por métodos y procedimientos actuariales.</w:t>
      </w:r>
    </w:p>
    <w:p w14:paraId="28BFF4B3" w14:textId="77777777" w:rsidR="00A502A1" w:rsidRPr="000113B8" w:rsidRDefault="00A502A1" w:rsidP="00A502A1">
      <w:pPr>
        <w:jc w:val="both"/>
        <w:rPr>
          <w:rFonts w:ascii="Garamond" w:hAnsi="Garamond" w:cs="Arial"/>
          <w:color w:val="000000" w:themeColor="text1"/>
          <w:lang w:val="es-ES_tradnl" w:eastAsia="es-CO"/>
        </w:rPr>
      </w:pPr>
    </w:p>
    <w:p w14:paraId="671B4DCB" w14:textId="77777777" w:rsidR="00A502A1" w:rsidRPr="000113B8" w:rsidRDefault="00A502A1" w:rsidP="00A502A1">
      <w:pPr>
        <w:jc w:val="both"/>
        <w:rPr>
          <w:rFonts w:ascii="Garamond" w:hAnsi="Garamond" w:cs="Arial"/>
          <w:color w:val="000000" w:themeColor="text1"/>
          <w:lang w:val="es-ES_tradnl" w:eastAsia="es-CO"/>
        </w:rPr>
      </w:pPr>
      <w:r w:rsidRPr="000113B8">
        <w:rPr>
          <w:rFonts w:ascii="Garamond" w:hAnsi="Garamond" w:cs="Arial"/>
          <w:color w:val="000000" w:themeColor="text1"/>
          <w:lang w:val="es-ES_tradnl" w:eastAsia="es-CO"/>
        </w:rPr>
        <w:t>La técnica del seguro se basa en el pago anticipado de los recursos que se invierten a largo plazo, fijándose las reservas especiales, las denominadas provisiones técnicas, que garantizan, cuando ocurran eventos dañosos, el pago de las indemnizaciones por siniestro. Las citadas reservas son invertidas por las empresas de seguros normalmente en activos reales (inmuebles) o en activos financieros (títulos o valores mobiliarios, operaciones activas).</w:t>
      </w:r>
    </w:p>
    <w:p w14:paraId="1D845720" w14:textId="77777777" w:rsidR="00A502A1" w:rsidRPr="000113B8" w:rsidRDefault="00A502A1" w:rsidP="00A502A1">
      <w:pPr>
        <w:jc w:val="both"/>
        <w:rPr>
          <w:rFonts w:ascii="Garamond" w:hAnsi="Garamond" w:cs="Arial"/>
          <w:color w:val="000000" w:themeColor="text1"/>
          <w:lang w:val="es-ES_tradnl" w:eastAsia="es-CO"/>
        </w:rPr>
      </w:pPr>
    </w:p>
    <w:p w14:paraId="790F37D8" w14:textId="77777777" w:rsidR="00A502A1" w:rsidRPr="000113B8" w:rsidRDefault="00A502A1" w:rsidP="00A502A1">
      <w:pPr>
        <w:jc w:val="both"/>
        <w:rPr>
          <w:rFonts w:ascii="Garamond" w:hAnsi="Garamond" w:cs="Arial"/>
          <w:color w:val="000000" w:themeColor="text1"/>
          <w:lang w:val="es-ES_tradnl" w:eastAsia="es-CO"/>
        </w:rPr>
      </w:pPr>
      <w:r w:rsidRPr="000113B8">
        <w:rPr>
          <w:rFonts w:ascii="Garamond" w:hAnsi="Garamond" w:cs="Arial"/>
          <w:color w:val="000000" w:themeColor="text1"/>
          <w:lang w:val="es-ES_tradnl" w:eastAsia="es-CO"/>
        </w:rPr>
        <w:t>Las provisiones técnicas se derivan inmediatamente de los contratos de seguro, formándose con una parte de las aportaciones de los asegurados y corresponden a la obligación futura que para con ellos tiene el asegurador. En tanto que el margen de solvencia lo constituye el patrimonio de la entidad aseguradora libre de todo compromiso previsible y con deducción de los elementos inmateriales.</w:t>
      </w:r>
    </w:p>
    <w:p w14:paraId="57DE55C6" w14:textId="77777777" w:rsidR="00A502A1" w:rsidRPr="000113B8" w:rsidRDefault="00A502A1" w:rsidP="00A502A1">
      <w:pPr>
        <w:jc w:val="both"/>
        <w:rPr>
          <w:rFonts w:ascii="Garamond" w:hAnsi="Garamond" w:cs="Arial"/>
          <w:color w:val="000000" w:themeColor="text1"/>
          <w:lang w:val="es-ES_tradnl" w:eastAsia="es-CO"/>
        </w:rPr>
      </w:pPr>
    </w:p>
    <w:p w14:paraId="078D73F6" w14:textId="77777777" w:rsidR="00A502A1" w:rsidRPr="000113B8" w:rsidRDefault="00A502A1" w:rsidP="00A502A1">
      <w:pPr>
        <w:jc w:val="both"/>
        <w:rPr>
          <w:rFonts w:ascii="Garamond" w:hAnsi="Garamond" w:cs="Arial"/>
          <w:color w:val="000000" w:themeColor="text1"/>
          <w:lang w:val="es-ES_tradnl" w:eastAsia="es-CO"/>
        </w:rPr>
      </w:pPr>
      <w:r w:rsidRPr="000113B8">
        <w:rPr>
          <w:rFonts w:ascii="Garamond" w:hAnsi="Garamond" w:cs="Arial"/>
          <w:color w:val="000000" w:themeColor="text1"/>
          <w:lang w:val="es-ES_tradnl" w:eastAsia="es-CO"/>
        </w:rPr>
        <w:t>Al constituirse un contrato, la compañía de seguros al recibir una prima en concepto de pago se obliga frente al asegurado a indemnizarle según lo pactado, si deviene el evento no deseado. El espíritu es restituir al asegurado al "estado" previo al siniestro, para que la calamidad no se convierta en lucro.</w:t>
      </w:r>
    </w:p>
    <w:p w14:paraId="58A64E7A" w14:textId="77777777" w:rsidR="00A502A1" w:rsidRPr="000113B8" w:rsidRDefault="00A502A1" w:rsidP="00A502A1">
      <w:pPr>
        <w:jc w:val="both"/>
        <w:rPr>
          <w:rFonts w:ascii="Garamond" w:hAnsi="Garamond" w:cs="Arial"/>
          <w:color w:val="000000" w:themeColor="text1"/>
          <w:lang w:val="es-ES_tradnl" w:eastAsia="es-CO"/>
        </w:rPr>
      </w:pPr>
    </w:p>
    <w:p w14:paraId="7F1D7B4E" w14:textId="77777777" w:rsidR="00A502A1" w:rsidRPr="000113B8" w:rsidRDefault="00A502A1" w:rsidP="00A502A1">
      <w:pPr>
        <w:jc w:val="both"/>
        <w:rPr>
          <w:rFonts w:ascii="Garamond" w:hAnsi="Garamond" w:cs="Arial"/>
          <w:color w:val="000000" w:themeColor="text1"/>
          <w:lang w:val="es-ES_tradnl" w:eastAsia="es-CO"/>
        </w:rPr>
      </w:pPr>
      <w:r w:rsidRPr="000113B8">
        <w:rPr>
          <w:rFonts w:ascii="Garamond" w:hAnsi="Garamond" w:cs="Arial"/>
          <w:color w:val="000000" w:themeColor="text1"/>
          <w:lang w:val="es-ES_tradnl" w:eastAsia="es-CO"/>
        </w:rPr>
        <w:t xml:space="preserve">Las sociedades de corretaje y los agentes independientes median entre los asegurados y las aseguradoras. Es de </w:t>
      </w:r>
      <w:r w:rsidRPr="000113B8">
        <w:rPr>
          <w:rFonts w:ascii="Garamond" w:hAnsi="Garamond" w:cs="Arial"/>
          <w:color w:val="000000" w:themeColor="text1"/>
          <w:lang w:val="es-ES_tradnl" w:eastAsia="es-CO"/>
        </w:rPr>
        <w:lastRenderedPageBreak/>
        <w:t>importancia capital que estos tengan la formación y niveles adecuados patrimoniales para brindar la mejor orientación y el soporte al asegurado, pues ellos representan el eslabón más prominente y muchas veces más frágil de la industria aseguradora. Para distribuir el riesgo, las empresas aseguradoras pueden ceder una parte o la totalidad de riesgos suscribiendo contrato con empresas reaseguradoras, acordándose cómo será el reparto de las primas devengadas de la asunción del riesgo y el reparto de los pagos por las responsabilidades derivadas del riesgo. No se cede la responsabilidad del asegurador con el asegurado, sin embargo, se hace la prevención y se dispersan los riesgos.</w:t>
      </w:r>
    </w:p>
    <w:p w14:paraId="29104923" w14:textId="77777777" w:rsidR="00A502A1" w:rsidRPr="000113B8" w:rsidRDefault="00A502A1" w:rsidP="00A502A1">
      <w:pPr>
        <w:jc w:val="both"/>
        <w:rPr>
          <w:rFonts w:ascii="Garamond" w:hAnsi="Garamond" w:cs="Arial"/>
          <w:color w:val="000000" w:themeColor="text1"/>
          <w:lang w:val="es-ES_tradnl" w:eastAsia="es-CO"/>
        </w:rPr>
      </w:pPr>
    </w:p>
    <w:p w14:paraId="70D28978" w14:textId="77777777" w:rsidR="00A502A1" w:rsidRPr="000113B8" w:rsidRDefault="00A502A1" w:rsidP="00A502A1">
      <w:pPr>
        <w:jc w:val="both"/>
        <w:rPr>
          <w:rFonts w:ascii="Garamond" w:hAnsi="Garamond" w:cs="Arial"/>
          <w:color w:val="000000" w:themeColor="text1"/>
          <w:lang w:val="es-ES_tradnl" w:eastAsia="es-CO"/>
        </w:rPr>
      </w:pPr>
      <w:r w:rsidRPr="000113B8">
        <w:rPr>
          <w:rFonts w:ascii="Garamond" w:hAnsi="Garamond" w:cs="Arial"/>
          <w:color w:val="000000" w:themeColor="text1"/>
          <w:lang w:val="es-ES_tradnl" w:eastAsia="es-CO"/>
        </w:rPr>
        <w:t>El seguro realiza una importante labor de prevención mediante la selección de riesgos y la adecuada cotización de primas; juega un papel importante en materia crediticia; constituye una importante fuente de ingreso al fisco, y; en el aspecto individual, el seguro se destaca el espíritu de prevención que representa el tratar de prevenirse de las consecuencias desfavorables de un evento, con la consiguiente mejora de la conciencia social de los individuos.</w:t>
      </w:r>
    </w:p>
    <w:p w14:paraId="57F0C4EA" w14:textId="77777777" w:rsidR="00A502A1" w:rsidRPr="000113B8" w:rsidRDefault="00A502A1" w:rsidP="00A502A1">
      <w:pPr>
        <w:jc w:val="both"/>
        <w:rPr>
          <w:rFonts w:ascii="Garamond" w:hAnsi="Garamond" w:cs="Arial"/>
          <w:color w:val="000000" w:themeColor="text1"/>
          <w:lang w:val="es-ES_tradnl" w:eastAsia="es-CO"/>
        </w:rPr>
      </w:pPr>
    </w:p>
    <w:p w14:paraId="4ABF3CD1" w14:textId="77777777" w:rsidR="00A502A1" w:rsidRPr="000113B8" w:rsidRDefault="00A502A1" w:rsidP="00A502A1">
      <w:pPr>
        <w:jc w:val="both"/>
        <w:rPr>
          <w:rFonts w:ascii="Garamond" w:hAnsi="Garamond" w:cs="Arial"/>
          <w:color w:val="000000" w:themeColor="text1"/>
          <w:lang w:val="es-ES_tradnl" w:eastAsia="es-CO"/>
        </w:rPr>
      </w:pPr>
      <w:r w:rsidRPr="000113B8">
        <w:rPr>
          <w:rFonts w:ascii="Garamond" w:hAnsi="Garamond" w:cs="Arial"/>
          <w:color w:val="000000" w:themeColor="text1"/>
          <w:lang w:val="es-ES_tradnl" w:eastAsia="es-CO"/>
        </w:rPr>
        <w:t>La industria aseguradora es de gran importancia en todos los países, y dada la naturaleza y la dinámica del negocio, el sector es un inversionista institucional en las naciones. Asimismo, los seguros son fundamentales en la promoción del ahorro personal protectores del patrimonio del asegurado contra cualquier eventualidad; gracias a esto, se pueden mantener los niveles de producción de las empresas, previendo el desempleo y contribuyendo al crecimiento económico de cada nación.</w:t>
      </w:r>
    </w:p>
    <w:p w14:paraId="258D08C7" w14:textId="77777777" w:rsidR="00A502A1" w:rsidRPr="000113B8" w:rsidRDefault="00A502A1" w:rsidP="00A502A1">
      <w:pPr>
        <w:jc w:val="both"/>
        <w:rPr>
          <w:rFonts w:ascii="Garamond" w:hAnsi="Garamond" w:cs="Arial"/>
          <w:color w:val="000000" w:themeColor="text1"/>
          <w:lang w:val="es-ES_tradnl" w:eastAsia="es-CO"/>
        </w:rPr>
      </w:pPr>
    </w:p>
    <w:p w14:paraId="2E966E85" w14:textId="77777777" w:rsidR="00A502A1" w:rsidRPr="000113B8" w:rsidRDefault="00A502A1" w:rsidP="00A502A1">
      <w:pPr>
        <w:jc w:val="both"/>
        <w:rPr>
          <w:rFonts w:ascii="Garamond" w:hAnsi="Garamond" w:cs="Arial"/>
          <w:color w:val="000000" w:themeColor="text1"/>
          <w:lang w:val="es-ES_tradnl"/>
        </w:rPr>
      </w:pPr>
      <w:r w:rsidRPr="000113B8">
        <w:rPr>
          <w:rFonts w:ascii="Garamond" w:hAnsi="Garamond" w:cs="Arial"/>
          <w:color w:val="000000" w:themeColor="text1"/>
          <w:lang w:val="es-ES_tradnl"/>
        </w:rPr>
        <w:t>El Gobierno Nacional incluyó en la plataforma legislativa del año 90 la reforma al sector asegurador, la cual fue adoptada mediante la Ley 45 de 1990. Esta norma modificó sustancialmente la regulación de la actividad de los seguros en el país, toda vez que hizo aplicable el principio de la libre competencia, introdujo elementos para fortalecer aún más el patrimonio de las entidades, admitió la inversión extranjera hasta el 100%, eliminó las inversiones forzosas, suprimió el monopolio de los seguros oficiales en favor de La Previsora y abolió el control a priori que ejercía la Superintendencia Bancaria. Otras leyes aprobadas en la misma legislatura incidieron igualmente en la operación aseguradora: Reforma cambiaria (seguros en moneda extranjera, inversiones en el exterior e inversión extranjera) y la reforma laboral (creación de los agentes independientes de seguros).</w:t>
      </w:r>
    </w:p>
    <w:p w14:paraId="5C1AAEF2" w14:textId="77777777" w:rsidR="00A502A1" w:rsidRPr="000113B8" w:rsidRDefault="00A502A1" w:rsidP="00A502A1">
      <w:pPr>
        <w:jc w:val="both"/>
        <w:rPr>
          <w:rFonts w:ascii="Garamond" w:hAnsi="Garamond" w:cs="Arial"/>
          <w:color w:val="000000" w:themeColor="text1"/>
          <w:lang w:val="es-ES_tradnl"/>
        </w:rPr>
      </w:pPr>
    </w:p>
    <w:p w14:paraId="06B65076" w14:textId="77777777" w:rsidR="00A502A1" w:rsidRPr="000113B8" w:rsidRDefault="00A502A1" w:rsidP="00A502A1">
      <w:pPr>
        <w:jc w:val="both"/>
        <w:rPr>
          <w:rFonts w:ascii="Garamond" w:hAnsi="Garamond" w:cs="Arial"/>
          <w:color w:val="000000" w:themeColor="text1"/>
          <w:lang w:val="es-ES_tradnl"/>
        </w:rPr>
      </w:pPr>
      <w:r w:rsidRPr="000113B8">
        <w:rPr>
          <w:rFonts w:ascii="Garamond" w:hAnsi="Garamond" w:cs="Arial"/>
          <w:color w:val="000000" w:themeColor="text1"/>
          <w:lang w:val="es-ES_tradnl"/>
        </w:rPr>
        <w:t>Cabe anotar que algunas normas reglamentarias expedidas con anterioridad a la Ley 45 de 1990 deben entenderse vigentes en la medida en que no contraríen las nuevas disposiciones legales.</w:t>
      </w:r>
    </w:p>
    <w:p w14:paraId="1B396A7A" w14:textId="77777777" w:rsidR="00A502A1" w:rsidRPr="000113B8" w:rsidRDefault="00A502A1" w:rsidP="00A502A1">
      <w:pPr>
        <w:jc w:val="both"/>
        <w:rPr>
          <w:rFonts w:ascii="Garamond" w:hAnsi="Garamond" w:cs="Arial"/>
          <w:color w:val="000000" w:themeColor="text1"/>
          <w:lang w:val="es-ES_tradnl"/>
        </w:rPr>
      </w:pPr>
    </w:p>
    <w:p w14:paraId="04B69939" w14:textId="77777777" w:rsidR="00A502A1" w:rsidRPr="000113B8" w:rsidRDefault="00A502A1" w:rsidP="00A502A1">
      <w:pPr>
        <w:jc w:val="both"/>
        <w:rPr>
          <w:rFonts w:ascii="Garamond" w:hAnsi="Garamond" w:cs="Arial"/>
          <w:color w:val="000000" w:themeColor="text1"/>
          <w:lang w:val="es-ES_tradnl"/>
        </w:rPr>
      </w:pPr>
      <w:r w:rsidRPr="000113B8">
        <w:rPr>
          <w:rFonts w:ascii="Garamond" w:hAnsi="Garamond" w:cs="Arial"/>
          <w:color w:val="000000" w:themeColor="text1"/>
          <w:lang w:val="es-ES_tradnl"/>
        </w:rPr>
        <w:t>Ley 35 de 1993, o ley marco del sector financiero, bursátil y asegurador, por medio de la cual se dictan las normas generales y se señalan los objetivos y criterios a los cuales deberá sujetarse el Gobierno Nacional para regular estas actividades. Además, esta Ley concede al presidente de la República facultades extraordinarias con base en las cuales se expidió el Decreto 663 de 1993 por el cual se adopta un nuevo Estatuto Orgánico del Sistema Financiero, modificado por las Leyes 510 de 1999 y 795 de 2003.</w:t>
      </w:r>
      <w:r w:rsidRPr="000113B8">
        <w:rPr>
          <w:rStyle w:val="Refdenotaalpie"/>
          <w:rFonts w:ascii="Garamond" w:hAnsi="Garamond" w:cs="Arial"/>
          <w:color w:val="000000" w:themeColor="text1"/>
        </w:rPr>
        <w:footnoteReference w:id="7"/>
      </w:r>
    </w:p>
    <w:p w14:paraId="6C20DD72" w14:textId="77777777" w:rsidR="00A502A1" w:rsidRPr="000113B8" w:rsidRDefault="00A502A1" w:rsidP="00A502A1">
      <w:pPr>
        <w:jc w:val="both"/>
        <w:rPr>
          <w:rFonts w:ascii="Garamond" w:hAnsi="Garamond" w:cs="Arial"/>
          <w:color w:val="000000" w:themeColor="text1"/>
          <w:lang w:val="es-ES_tradnl"/>
        </w:rPr>
      </w:pPr>
    </w:p>
    <w:p w14:paraId="43DC5207" w14:textId="77777777" w:rsidR="00A502A1" w:rsidRPr="000113B8" w:rsidRDefault="00A502A1" w:rsidP="00A502A1">
      <w:pPr>
        <w:jc w:val="both"/>
        <w:rPr>
          <w:rFonts w:ascii="Garamond" w:hAnsi="Garamond" w:cs="Arial"/>
          <w:color w:val="000000" w:themeColor="text1"/>
          <w:lang w:val="es-ES_tradnl"/>
        </w:rPr>
      </w:pPr>
      <w:r w:rsidRPr="000113B8">
        <w:rPr>
          <w:rFonts w:ascii="Garamond" w:hAnsi="Garamond" w:cs="Arial"/>
          <w:color w:val="000000" w:themeColor="text1"/>
          <w:lang w:val="es-ES_tradnl"/>
        </w:rPr>
        <w:t>Código de Comercio en el Título V, Capítulo I- Principios Comunes a los Seguros Terrestres, Capítulo II – Seguros de Daños y Capítulo III Seguros de Personas, Artículo 1036 y ss. Define el contrato de seguros así: “El seguro es un contrato consensual, bilateral, oneroso, aleatorio y de ejecución sucesiva”.</w:t>
      </w:r>
    </w:p>
    <w:p w14:paraId="7643BADE" w14:textId="77777777" w:rsidR="00A502A1" w:rsidRPr="000113B8" w:rsidRDefault="00A502A1" w:rsidP="00A502A1">
      <w:pPr>
        <w:jc w:val="both"/>
        <w:rPr>
          <w:rFonts w:ascii="Garamond" w:hAnsi="Garamond" w:cs="Arial"/>
          <w:color w:val="000000" w:themeColor="text1"/>
          <w:lang w:val="es-ES_tradnl"/>
        </w:rPr>
      </w:pPr>
    </w:p>
    <w:p w14:paraId="1F64DF2C" w14:textId="77777777" w:rsidR="00A502A1" w:rsidRPr="000113B8" w:rsidRDefault="00A502A1" w:rsidP="00A502A1">
      <w:pPr>
        <w:jc w:val="both"/>
        <w:rPr>
          <w:rFonts w:ascii="Garamond" w:hAnsi="Garamond" w:cs="Arial"/>
          <w:color w:val="000000" w:themeColor="text1"/>
          <w:lang w:val="es-ES_tradnl"/>
        </w:rPr>
      </w:pPr>
      <w:r w:rsidRPr="000113B8">
        <w:rPr>
          <w:rFonts w:ascii="Garamond" w:hAnsi="Garamond" w:cs="Arial"/>
          <w:color w:val="000000" w:themeColor="text1"/>
          <w:lang w:val="es-ES_tradnl"/>
        </w:rPr>
        <w:t>Decreto 2555 de 2010 por el cual se recogen y reexpiden las normas en materia del sector financiero, asegurador y del mercado de valores.</w:t>
      </w:r>
    </w:p>
    <w:p w14:paraId="7BD24CA9" w14:textId="77777777" w:rsidR="00A502A1" w:rsidRPr="000113B8" w:rsidRDefault="00A502A1" w:rsidP="00A502A1">
      <w:pPr>
        <w:jc w:val="both"/>
        <w:rPr>
          <w:rFonts w:ascii="Garamond" w:hAnsi="Garamond" w:cs="Arial"/>
          <w:color w:val="000000" w:themeColor="text1"/>
          <w:lang w:val="es-ES_tradnl"/>
        </w:rPr>
      </w:pPr>
    </w:p>
    <w:p w14:paraId="4DD3D9A4" w14:textId="63BDB6D3" w:rsidR="00A502A1" w:rsidRDefault="00A502A1" w:rsidP="00A502A1">
      <w:pPr>
        <w:jc w:val="both"/>
        <w:rPr>
          <w:rFonts w:ascii="Garamond" w:hAnsi="Garamond" w:cs="Arial"/>
          <w:color w:val="000000" w:themeColor="text1"/>
          <w:lang w:val="es-ES_tradnl"/>
        </w:rPr>
      </w:pPr>
      <w:r w:rsidRPr="000113B8">
        <w:rPr>
          <w:rFonts w:ascii="Garamond" w:hAnsi="Garamond" w:cs="Arial"/>
          <w:color w:val="000000" w:themeColor="text1"/>
          <w:lang w:val="es-ES_tradnl"/>
        </w:rPr>
        <w:t>La Circular Básica Jurídica (CE 029/14) le da la facultad a la superintendencia financiera de Colombia para controlar, vigilar e inspeccionar a las entidades del sector asegurador.</w:t>
      </w:r>
    </w:p>
    <w:p w14:paraId="001BA33C" w14:textId="77777777" w:rsidR="00F1003A" w:rsidRPr="000113B8" w:rsidRDefault="00F1003A" w:rsidP="00A502A1">
      <w:pPr>
        <w:jc w:val="both"/>
        <w:rPr>
          <w:rFonts w:ascii="Garamond" w:hAnsi="Garamond" w:cs="Arial"/>
          <w:color w:val="000000" w:themeColor="text1"/>
          <w:lang w:val="es-ES_tradnl"/>
        </w:rPr>
      </w:pPr>
    </w:p>
    <w:p w14:paraId="5351584C" w14:textId="77777777" w:rsidR="00A502A1" w:rsidRPr="000113B8" w:rsidRDefault="00A502A1" w:rsidP="00A502A1">
      <w:pPr>
        <w:jc w:val="both"/>
        <w:rPr>
          <w:rFonts w:ascii="Garamond" w:hAnsi="Garamond" w:cs="Arial"/>
          <w:color w:val="000000" w:themeColor="text1"/>
          <w:lang w:val="es-ES_tradnl"/>
        </w:rPr>
      </w:pPr>
      <w:r w:rsidRPr="000113B8">
        <w:rPr>
          <w:rFonts w:ascii="Garamond" w:hAnsi="Garamond" w:cs="Arial"/>
          <w:color w:val="000000" w:themeColor="text1"/>
          <w:lang w:val="es-ES_tradnl"/>
        </w:rPr>
        <w:t>Estatuto Tributario fija la tarifa del impuesto al valor agregado en 19% para los seguros generales, y la tarifa 0 para los seguros de personas.</w:t>
      </w:r>
    </w:p>
    <w:p w14:paraId="72B52EC7" w14:textId="77777777" w:rsidR="00A502A1" w:rsidRPr="000113B8" w:rsidRDefault="00A502A1" w:rsidP="00A502A1">
      <w:pPr>
        <w:jc w:val="both"/>
        <w:rPr>
          <w:rFonts w:ascii="Garamond" w:hAnsi="Garamond" w:cs="Arial"/>
          <w:color w:val="000000" w:themeColor="text1"/>
          <w:lang w:val="es-ES_tradnl"/>
        </w:rPr>
      </w:pPr>
    </w:p>
    <w:p w14:paraId="2BD079F6" w14:textId="77777777" w:rsidR="00A502A1" w:rsidRPr="000113B8" w:rsidRDefault="00A502A1" w:rsidP="00A502A1">
      <w:pPr>
        <w:jc w:val="both"/>
        <w:rPr>
          <w:rFonts w:ascii="Garamond" w:hAnsi="Garamond" w:cs="Arial"/>
          <w:color w:val="000000" w:themeColor="text1"/>
          <w:lang w:val="es-ES_tradnl"/>
        </w:rPr>
      </w:pPr>
      <w:r w:rsidRPr="000113B8">
        <w:rPr>
          <w:rFonts w:ascii="Garamond" w:hAnsi="Garamond" w:cs="Arial"/>
          <w:color w:val="000000" w:themeColor="text1"/>
          <w:lang w:val="es-ES_tradnl"/>
        </w:rPr>
        <w:t>De acuerdo con lo establecido en el inciso segundo, numeral 1º, artículo 184 EOSF (*), la aprobación previa de pólizas y tarifas por parte de la SFC sólo es necesaria cuando se trata de la autorización inicial a una entidad aseguradora o de la correspondiente para la explotación de un nuevo ramo.</w:t>
      </w:r>
    </w:p>
    <w:p w14:paraId="77E39AF8" w14:textId="77777777" w:rsidR="00A502A1" w:rsidRPr="000113B8" w:rsidRDefault="00A502A1" w:rsidP="00A502A1">
      <w:pPr>
        <w:jc w:val="both"/>
        <w:rPr>
          <w:rFonts w:ascii="Garamond" w:hAnsi="Garamond" w:cs="Arial"/>
          <w:color w:val="000000" w:themeColor="text1"/>
          <w:lang w:val="es-ES_tradnl"/>
        </w:rPr>
      </w:pPr>
    </w:p>
    <w:p w14:paraId="71BD1CAB" w14:textId="77777777" w:rsidR="00A502A1" w:rsidRPr="000113B8" w:rsidRDefault="00A502A1" w:rsidP="00A502A1">
      <w:pPr>
        <w:jc w:val="both"/>
        <w:rPr>
          <w:rFonts w:ascii="Garamond" w:hAnsi="Garamond" w:cs="Arial"/>
          <w:color w:val="000000" w:themeColor="text1"/>
          <w:lang w:val="es-ES_tradnl" w:eastAsia="es-CO"/>
        </w:rPr>
      </w:pPr>
      <w:r w:rsidRPr="000113B8">
        <w:rPr>
          <w:rFonts w:ascii="Garamond" w:hAnsi="Garamond" w:cs="Arial"/>
          <w:color w:val="000000" w:themeColor="text1"/>
          <w:lang w:val="es-ES_tradnl" w:eastAsia="es-CO"/>
        </w:rPr>
        <w:t>El estatuto orgánico del sistema financiero establece para las tarifas de las pólizas que:</w:t>
      </w:r>
    </w:p>
    <w:p w14:paraId="7F01C0A2" w14:textId="77777777" w:rsidR="00A502A1" w:rsidRPr="000113B8" w:rsidRDefault="00A502A1" w:rsidP="00A502A1">
      <w:pPr>
        <w:jc w:val="both"/>
        <w:rPr>
          <w:rFonts w:ascii="Garamond" w:hAnsi="Garamond" w:cs="Arial"/>
          <w:color w:val="000000" w:themeColor="text1"/>
          <w:lang w:val="es-ES_tradnl" w:eastAsia="es-CO"/>
        </w:rPr>
      </w:pPr>
    </w:p>
    <w:p w14:paraId="0147F214" w14:textId="77777777" w:rsidR="00A502A1" w:rsidRPr="000113B8" w:rsidRDefault="00A502A1" w:rsidP="00A502A1">
      <w:pPr>
        <w:ind w:firstLine="708"/>
        <w:jc w:val="both"/>
        <w:rPr>
          <w:rFonts w:ascii="Garamond" w:hAnsi="Garamond" w:cs="Arial"/>
          <w:i/>
          <w:iCs/>
          <w:color w:val="000000" w:themeColor="text1"/>
          <w:lang w:val="es-ES_tradnl" w:eastAsia="es-CO"/>
        </w:rPr>
      </w:pPr>
      <w:r w:rsidRPr="000113B8">
        <w:rPr>
          <w:rFonts w:ascii="Garamond" w:hAnsi="Garamond" w:cs="Arial"/>
          <w:i/>
          <w:iCs/>
          <w:color w:val="000000" w:themeColor="text1"/>
          <w:lang w:val="es-ES_tradnl" w:eastAsia="es-CO"/>
        </w:rPr>
        <w:t xml:space="preserve">“Requisitos de las tarifas. Las tarifas cumplirán las siguientes reglas: </w:t>
      </w:r>
    </w:p>
    <w:p w14:paraId="401E9A0B" w14:textId="77777777" w:rsidR="00A502A1" w:rsidRPr="000113B8" w:rsidRDefault="00A502A1" w:rsidP="00A502A1">
      <w:pPr>
        <w:ind w:firstLine="708"/>
        <w:jc w:val="both"/>
        <w:rPr>
          <w:rFonts w:ascii="Garamond" w:hAnsi="Garamond" w:cs="Arial"/>
          <w:i/>
          <w:iCs/>
          <w:color w:val="000000" w:themeColor="text1"/>
          <w:lang w:val="es-ES_tradnl" w:eastAsia="es-CO"/>
        </w:rPr>
      </w:pPr>
    </w:p>
    <w:p w14:paraId="71087B59" w14:textId="77777777" w:rsidR="00A502A1" w:rsidRPr="000113B8" w:rsidRDefault="00A502A1" w:rsidP="00A502A1">
      <w:pPr>
        <w:ind w:firstLine="708"/>
        <w:jc w:val="both"/>
        <w:rPr>
          <w:rFonts w:ascii="Garamond" w:hAnsi="Garamond" w:cs="Arial"/>
          <w:i/>
          <w:iCs/>
          <w:color w:val="000000" w:themeColor="text1"/>
          <w:lang w:val="es-ES_tradnl" w:eastAsia="es-CO"/>
        </w:rPr>
      </w:pPr>
      <w:r w:rsidRPr="000113B8">
        <w:rPr>
          <w:rFonts w:ascii="Garamond" w:hAnsi="Garamond" w:cs="Arial"/>
          <w:i/>
          <w:iCs/>
          <w:color w:val="000000" w:themeColor="text1"/>
          <w:lang w:val="es-ES_tradnl" w:eastAsia="es-CO"/>
        </w:rPr>
        <w:t xml:space="preserve">a. Deben observar los principios técnicos de equidad y suficiencia; </w:t>
      </w:r>
    </w:p>
    <w:p w14:paraId="6D710B74" w14:textId="77777777" w:rsidR="00A502A1" w:rsidRPr="000113B8" w:rsidRDefault="00A502A1" w:rsidP="00A502A1">
      <w:pPr>
        <w:ind w:left="708"/>
        <w:contextualSpacing/>
        <w:jc w:val="both"/>
        <w:rPr>
          <w:rFonts w:ascii="Garamond" w:hAnsi="Garamond" w:cs="Arial"/>
          <w:i/>
          <w:iCs/>
          <w:color w:val="000000" w:themeColor="text1"/>
          <w:lang w:val="es-ES_tradnl" w:eastAsia="es-CO"/>
        </w:rPr>
      </w:pPr>
      <w:r w:rsidRPr="000113B8">
        <w:rPr>
          <w:rFonts w:ascii="Garamond" w:hAnsi="Garamond" w:cs="Arial"/>
          <w:i/>
          <w:iCs/>
          <w:color w:val="000000" w:themeColor="text1"/>
          <w:lang w:val="es-ES_tradnl" w:eastAsia="es-CO"/>
        </w:rPr>
        <w:t xml:space="preserve">b. Deben ser el producto de la utilización de información estadística que cumpla exigencias de homogeneidad y representatividad, y </w:t>
      </w:r>
    </w:p>
    <w:p w14:paraId="24D14060" w14:textId="77777777" w:rsidR="00A502A1" w:rsidRPr="000113B8" w:rsidRDefault="00A502A1" w:rsidP="00A502A1">
      <w:pPr>
        <w:ind w:left="708"/>
        <w:contextualSpacing/>
        <w:jc w:val="both"/>
        <w:rPr>
          <w:rFonts w:ascii="Garamond" w:hAnsi="Garamond" w:cs="Arial"/>
          <w:i/>
          <w:iCs/>
          <w:color w:val="000000" w:themeColor="text1"/>
          <w:lang w:val="es-ES_tradnl" w:eastAsia="es-CO"/>
        </w:rPr>
      </w:pPr>
      <w:r w:rsidRPr="000113B8">
        <w:rPr>
          <w:rFonts w:ascii="Garamond" w:hAnsi="Garamond" w:cs="Arial"/>
          <w:i/>
          <w:iCs/>
          <w:color w:val="000000" w:themeColor="text1"/>
          <w:lang w:val="es-ES_tradnl" w:eastAsia="es-CO"/>
        </w:rPr>
        <w:t xml:space="preserve">c. Ser el producto del respaldo de reaseguradores de reconocida solvencia técnica y financiera, en aquellos riesgos que por su naturaleza no resulte viable el cumplimiento de las exigencias contenidas en la letra anterior”. </w:t>
      </w:r>
    </w:p>
    <w:p w14:paraId="0A9F779F" w14:textId="77777777" w:rsidR="00A502A1" w:rsidRPr="000113B8" w:rsidRDefault="00A502A1" w:rsidP="00A502A1">
      <w:pPr>
        <w:jc w:val="both"/>
        <w:rPr>
          <w:rFonts w:ascii="Garamond" w:hAnsi="Garamond" w:cs="Arial"/>
          <w:color w:val="000000" w:themeColor="text1"/>
          <w:lang w:val="es-ES_tradnl"/>
        </w:rPr>
      </w:pPr>
    </w:p>
    <w:p w14:paraId="22BCD2F3" w14:textId="77777777" w:rsidR="00A502A1" w:rsidRPr="000113B8" w:rsidRDefault="00A502A1" w:rsidP="00C54B99">
      <w:pPr>
        <w:pStyle w:val="Prrafodelista"/>
        <w:numPr>
          <w:ilvl w:val="0"/>
          <w:numId w:val="20"/>
        </w:numPr>
        <w:autoSpaceDE/>
        <w:autoSpaceDN/>
        <w:spacing w:before="0"/>
        <w:jc w:val="both"/>
        <w:rPr>
          <w:rFonts w:ascii="Garamond" w:hAnsi="Garamond" w:cs="Arial"/>
          <w:b/>
          <w:bCs/>
          <w:color w:val="000000" w:themeColor="text1"/>
          <w:lang w:eastAsia="es-CO"/>
        </w:rPr>
      </w:pPr>
      <w:r w:rsidRPr="000113B8">
        <w:rPr>
          <w:rFonts w:ascii="Garamond" w:hAnsi="Garamond" w:cs="Arial"/>
          <w:b/>
          <w:bCs/>
          <w:color w:val="000000" w:themeColor="text1"/>
          <w:lang w:eastAsia="es-CO"/>
        </w:rPr>
        <w:t>La Normativa Local</w:t>
      </w:r>
    </w:p>
    <w:p w14:paraId="40F572FE" w14:textId="77777777" w:rsidR="00A502A1" w:rsidRPr="000113B8" w:rsidRDefault="00A502A1" w:rsidP="00A502A1">
      <w:pPr>
        <w:contextualSpacing/>
        <w:jc w:val="both"/>
        <w:rPr>
          <w:rFonts w:ascii="Garamond" w:hAnsi="Garamond" w:cs="Arial"/>
          <w:color w:val="000000" w:themeColor="text1"/>
          <w:lang w:val="es-ES_tradnl"/>
        </w:rPr>
      </w:pPr>
    </w:p>
    <w:p w14:paraId="23495563" w14:textId="77777777" w:rsidR="00A502A1" w:rsidRPr="000113B8" w:rsidRDefault="00A502A1" w:rsidP="00A502A1">
      <w:pPr>
        <w:contextualSpacing/>
        <w:jc w:val="both"/>
        <w:rPr>
          <w:rFonts w:ascii="Garamond" w:hAnsi="Garamond" w:cs="Arial"/>
          <w:color w:val="000000" w:themeColor="text1"/>
          <w:lang w:val="es-ES_tradnl"/>
        </w:rPr>
      </w:pPr>
      <w:r w:rsidRPr="000113B8">
        <w:rPr>
          <w:rFonts w:ascii="Garamond" w:hAnsi="Garamond" w:cs="Arial"/>
          <w:color w:val="000000" w:themeColor="text1"/>
          <w:lang w:val="es-ES_tradnl"/>
        </w:rPr>
        <w:t>En Colombia, al igual que en la mayoría de las jurisdicciones del globo, las entidades aseguradoras están sometidas a la regulación y a la supervisión prudenciales, donde se les exige el cumplimiento de reglas de solvencia que apuntan, entre otros, a que el asegurador no soporte con su propio patrimonio (retención) riesgos cuyo valor exceda un porcentaje determinado de su capital de trabajo.</w:t>
      </w:r>
    </w:p>
    <w:p w14:paraId="4F5D8C02" w14:textId="77777777" w:rsidR="00A502A1" w:rsidRPr="000113B8" w:rsidRDefault="00A502A1" w:rsidP="00A502A1">
      <w:pPr>
        <w:contextualSpacing/>
        <w:jc w:val="both"/>
        <w:rPr>
          <w:rFonts w:ascii="Garamond" w:hAnsi="Garamond" w:cs="Arial"/>
          <w:color w:val="000000" w:themeColor="text1"/>
          <w:lang w:val="es-ES_tradnl"/>
        </w:rPr>
      </w:pPr>
    </w:p>
    <w:p w14:paraId="52D108C9" w14:textId="77777777" w:rsidR="00A502A1" w:rsidRPr="000113B8" w:rsidRDefault="00A502A1" w:rsidP="00A502A1">
      <w:pPr>
        <w:contextualSpacing/>
        <w:jc w:val="both"/>
        <w:rPr>
          <w:rFonts w:ascii="Garamond" w:hAnsi="Garamond" w:cs="Arial"/>
          <w:color w:val="000000" w:themeColor="text1"/>
          <w:lang w:val="es-ES_tradnl"/>
        </w:rPr>
      </w:pPr>
      <w:r w:rsidRPr="000113B8">
        <w:rPr>
          <w:rFonts w:ascii="Garamond" w:hAnsi="Garamond" w:cs="Arial"/>
          <w:color w:val="000000" w:themeColor="text1"/>
          <w:lang w:val="es-ES_tradnl"/>
        </w:rPr>
        <w:t>En nuestro país, este límite de retención por riesgo es del 10</w:t>
      </w:r>
      <w:r w:rsidRPr="000113B8">
        <w:rPr>
          <w:color w:val="000000" w:themeColor="text1"/>
          <w:lang w:val="es-ES_tradnl"/>
        </w:rPr>
        <w:t> </w:t>
      </w:r>
      <w:r w:rsidRPr="000113B8">
        <w:rPr>
          <w:rFonts w:ascii="Garamond" w:hAnsi="Garamond" w:cs="Arial"/>
          <w:color w:val="000000" w:themeColor="text1"/>
          <w:lang w:val="es-ES_tradnl"/>
        </w:rPr>
        <w:t>% del patrimonio t</w:t>
      </w:r>
      <w:r w:rsidRPr="000113B8">
        <w:rPr>
          <w:rFonts w:ascii="Garamond" w:hAnsi="Garamond" w:cs="Garamond"/>
          <w:color w:val="000000" w:themeColor="text1"/>
          <w:lang w:val="es-ES_tradnl"/>
        </w:rPr>
        <w:t>é</w:t>
      </w:r>
      <w:r w:rsidRPr="000113B8">
        <w:rPr>
          <w:rFonts w:ascii="Garamond" w:hAnsi="Garamond" w:cs="Arial"/>
          <w:color w:val="000000" w:themeColor="text1"/>
          <w:lang w:val="es-ES_tradnl"/>
        </w:rPr>
        <w:t>cnico del asegurador, lo cual hace necesario que, para todos los riesgos cuyo valor expuesto est</w:t>
      </w:r>
      <w:r w:rsidRPr="000113B8">
        <w:rPr>
          <w:rFonts w:ascii="Garamond" w:hAnsi="Garamond" w:cs="Garamond"/>
          <w:color w:val="000000" w:themeColor="text1"/>
          <w:lang w:val="es-ES_tradnl"/>
        </w:rPr>
        <w:t>é</w:t>
      </w:r>
      <w:r w:rsidRPr="000113B8">
        <w:rPr>
          <w:rFonts w:ascii="Garamond" w:hAnsi="Garamond" w:cs="Arial"/>
          <w:color w:val="000000" w:themeColor="text1"/>
          <w:lang w:val="es-ES_tradnl"/>
        </w:rPr>
        <w:t xml:space="preserve"> por encima del 10</w:t>
      </w:r>
      <w:r w:rsidRPr="000113B8">
        <w:rPr>
          <w:color w:val="000000" w:themeColor="text1"/>
          <w:lang w:val="es-ES_tradnl"/>
        </w:rPr>
        <w:t> </w:t>
      </w:r>
      <w:r w:rsidRPr="000113B8">
        <w:rPr>
          <w:rFonts w:ascii="Garamond" w:hAnsi="Garamond" w:cs="Arial"/>
          <w:color w:val="000000" w:themeColor="text1"/>
          <w:lang w:val="es-ES_tradnl"/>
        </w:rPr>
        <w:t>% del patrimonio t</w:t>
      </w:r>
      <w:r w:rsidRPr="000113B8">
        <w:rPr>
          <w:rFonts w:ascii="Garamond" w:hAnsi="Garamond" w:cs="Garamond"/>
          <w:color w:val="000000" w:themeColor="text1"/>
          <w:lang w:val="es-ES_tradnl"/>
        </w:rPr>
        <w:t>é</w:t>
      </w:r>
      <w:r w:rsidRPr="000113B8">
        <w:rPr>
          <w:rFonts w:ascii="Garamond" w:hAnsi="Garamond" w:cs="Arial"/>
          <w:color w:val="000000" w:themeColor="text1"/>
          <w:lang w:val="es-ES_tradnl"/>
        </w:rPr>
        <w:t>cnico de la entidad aseguradora, se deba contar con el apoyo de alg</w:t>
      </w:r>
      <w:r w:rsidRPr="000113B8">
        <w:rPr>
          <w:rFonts w:ascii="Garamond" w:hAnsi="Garamond" w:cs="Garamond"/>
          <w:color w:val="000000" w:themeColor="text1"/>
          <w:lang w:val="es-ES_tradnl"/>
        </w:rPr>
        <w:t>ú</w:t>
      </w:r>
      <w:r w:rsidRPr="000113B8">
        <w:rPr>
          <w:rFonts w:ascii="Garamond" w:hAnsi="Garamond" w:cs="Arial"/>
          <w:color w:val="000000" w:themeColor="text1"/>
          <w:lang w:val="es-ES_tradnl"/>
        </w:rPr>
        <w:t>n mecanismo de dispersi</w:t>
      </w:r>
      <w:r w:rsidRPr="000113B8">
        <w:rPr>
          <w:rFonts w:ascii="Garamond" w:hAnsi="Garamond" w:cs="Garamond"/>
          <w:color w:val="000000" w:themeColor="text1"/>
          <w:lang w:val="es-ES_tradnl"/>
        </w:rPr>
        <w:t>ó</w:t>
      </w:r>
      <w:r w:rsidRPr="000113B8">
        <w:rPr>
          <w:rFonts w:ascii="Garamond" w:hAnsi="Garamond" w:cs="Arial"/>
          <w:color w:val="000000" w:themeColor="text1"/>
          <w:lang w:val="es-ES_tradnl"/>
        </w:rPr>
        <w:t>n de riesgos que disminuya la retención del asegurador. De allí que el reaseguro sea el mecanismo más utilizado para dispersar los riesgos y, así, el día del siniestro, sean muchos los que contribuyan a su pago, sin que alguno de ellos afecte sus condiciones patrimoniales o, incluso, su solvencia. Por ello, cuando ocurre un gran siniestro en el planeta, se puede afectar la gran mayoría de entidades aseguradoras y reaseguradoras, dado que el riesgo se ha dispersado de manera exponencial, lo que involucra, así sea poco, a muchos.</w:t>
      </w:r>
    </w:p>
    <w:p w14:paraId="384ADB9D" w14:textId="77777777" w:rsidR="00A502A1" w:rsidRPr="000113B8" w:rsidRDefault="00A502A1" w:rsidP="00A502A1">
      <w:pPr>
        <w:contextualSpacing/>
        <w:jc w:val="both"/>
        <w:rPr>
          <w:rFonts w:ascii="Garamond" w:hAnsi="Garamond" w:cs="Arial"/>
          <w:color w:val="000000" w:themeColor="text1"/>
          <w:lang w:val="es-ES_tradnl"/>
        </w:rPr>
      </w:pPr>
    </w:p>
    <w:p w14:paraId="2AD7F2A6" w14:textId="77777777" w:rsidR="00A502A1" w:rsidRPr="000113B8" w:rsidRDefault="00A502A1" w:rsidP="00A502A1">
      <w:pPr>
        <w:contextualSpacing/>
        <w:jc w:val="both"/>
        <w:rPr>
          <w:rFonts w:ascii="Garamond" w:hAnsi="Garamond" w:cs="Arial"/>
          <w:color w:val="000000" w:themeColor="text1"/>
          <w:lang w:val="es-ES_tradnl"/>
        </w:rPr>
      </w:pPr>
      <w:r w:rsidRPr="000113B8">
        <w:rPr>
          <w:rFonts w:ascii="Garamond" w:hAnsi="Garamond" w:cs="Arial"/>
          <w:color w:val="000000" w:themeColor="text1"/>
          <w:lang w:val="es-ES_tradnl"/>
        </w:rPr>
        <w:t>Nuestro legislador mercantil aborda en pocos artículos la regulación de dicho contrato, pues al ser un contrato de libre discusión y negociación entre sus partes, por oposición a un contrato por adhesión a condiciones generales, no requiere intervención para proteger a alguna parte débil en el mismo. Los artículos 1134 al 1136 del Código de Comercio regulan el contrato de reaseguro, en donde se definen las siguientes ideas básicas:</w:t>
      </w:r>
    </w:p>
    <w:p w14:paraId="39849143" w14:textId="77777777" w:rsidR="00A502A1" w:rsidRPr="000113B8" w:rsidRDefault="00A502A1" w:rsidP="00A502A1">
      <w:pPr>
        <w:contextualSpacing/>
        <w:jc w:val="both"/>
        <w:rPr>
          <w:rFonts w:ascii="Garamond" w:hAnsi="Garamond" w:cs="Arial"/>
          <w:color w:val="000000" w:themeColor="text1"/>
          <w:lang w:val="es-ES_tradnl"/>
        </w:rPr>
      </w:pPr>
    </w:p>
    <w:p w14:paraId="2DC591B4" w14:textId="77777777" w:rsidR="00A502A1" w:rsidRPr="000113B8" w:rsidRDefault="00A502A1" w:rsidP="00A502A1">
      <w:pPr>
        <w:contextualSpacing/>
        <w:jc w:val="both"/>
        <w:rPr>
          <w:rFonts w:ascii="Garamond" w:hAnsi="Garamond" w:cs="Arial"/>
          <w:color w:val="000000" w:themeColor="text1"/>
          <w:lang w:val="es-ES_tradnl"/>
        </w:rPr>
      </w:pPr>
      <w:r w:rsidRPr="000113B8">
        <w:rPr>
          <w:rFonts w:ascii="Garamond" w:hAnsi="Garamond" w:cs="Arial"/>
          <w:color w:val="000000" w:themeColor="text1"/>
          <w:lang w:val="es-ES_tradnl"/>
        </w:rPr>
        <w:t>(i) El objeto del contrato de reaseguro consiste en que el reasegurador contrae con el asegurador las mismas obligaciones que este ha contraído con el tomador o asegurado.</w:t>
      </w:r>
    </w:p>
    <w:p w14:paraId="0F73827B" w14:textId="77777777" w:rsidR="00A502A1" w:rsidRPr="000113B8" w:rsidRDefault="00A502A1" w:rsidP="00A502A1">
      <w:pPr>
        <w:contextualSpacing/>
        <w:jc w:val="both"/>
        <w:rPr>
          <w:rFonts w:ascii="Garamond" w:hAnsi="Garamond" w:cs="Arial"/>
          <w:color w:val="000000" w:themeColor="text1"/>
          <w:lang w:val="es-ES_tradnl"/>
        </w:rPr>
      </w:pPr>
    </w:p>
    <w:p w14:paraId="5D616539" w14:textId="77777777" w:rsidR="00A502A1" w:rsidRPr="000113B8" w:rsidRDefault="00A502A1" w:rsidP="00A502A1">
      <w:pPr>
        <w:contextualSpacing/>
        <w:jc w:val="both"/>
        <w:rPr>
          <w:rFonts w:ascii="Garamond" w:hAnsi="Garamond" w:cs="Arial"/>
          <w:color w:val="000000" w:themeColor="text1"/>
          <w:lang w:val="es-ES_tradnl"/>
        </w:rPr>
      </w:pPr>
      <w:r w:rsidRPr="000113B8">
        <w:rPr>
          <w:rFonts w:ascii="Garamond" w:hAnsi="Garamond" w:cs="Arial"/>
          <w:color w:val="000000" w:themeColor="text1"/>
          <w:lang w:val="es-ES_tradnl"/>
        </w:rPr>
        <w:t>(</w:t>
      </w:r>
      <w:proofErr w:type="spellStart"/>
      <w:r w:rsidRPr="000113B8">
        <w:rPr>
          <w:rFonts w:ascii="Garamond" w:hAnsi="Garamond" w:cs="Arial"/>
          <w:color w:val="000000" w:themeColor="text1"/>
          <w:lang w:val="es-ES_tradnl"/>
        </w:rPr>
        <w:t>ii</w:t>
      </w:r>
      <w:proofErr w:type="spellEnd"/>
      <w:r w:rsidRPr="000113B8">
        <w:rPr>
          <w:rFonts w:ascii="Garamond" w:hAnsi="Garamond" w:cs="Arial"/>
          <w:color w:val="000000" w:themeColor="text1"/>
          <w:lang w:val="es-ES_tradnl"/>
        </w:rPr>
        <w:t>) Existe comunidad de suerte en el resultado del contrato de seguro entre asegurador y reasegurador, salvo que se compruebe la mala fe del asegurador.</w:t>
      </w:r>
    </w:p>
    <w:p w14:paraId="7C7532EA" w14:textId="77777777" w:rsidR="00A502A1" w:rsidRPr="000113B8" w:rsidRDefault="00A502A1" w:rsidP="00A502A1">
      <w:pPr>
        <w:contextualSpacing/>
        <w:jc w:val="both"/>
        <w:rPr>
          <w:rFonts w:ascii="Garamond" w:hAnsi="Garamond" w:cs="Arial"/>
          <w:color w:val="000000" w:themeColor="text1"/>
          <w:lang w:val="es-ES_tradnl"/>
        </w:rPr>
      </w:pPr>
    </w:p>
    <w:p w14:paraId="372F3AD6" w14:textId="77777777" w:rsidR="00A502A1" w:rsidRPr="000113B8" w:rsidRDefault="00A502A1" w:rsidP="00A502A1">
      <w:pPr>
        <w:contextualSpacing/>
        <w:jc w:val="both"/>
        <w:rPr>
          <w:rFonts w:ascii="Garamond" w:hAnsi="Garamond" w:cs="Arial"/>
          <w:color w:val="000000" w:themeColor="text1"/>
          <w:lang w:val="es-ES_tradnl"/>
        </w:rPr>
      </w:pPr>
      <w:r w:rsidRPr="000113B8">
        <w:rPr>
          <w:rFonts w:ascii="Garamond" w:hAnsi="Garamond" w:cs="Arial"/>
          <w:color w:val="000000" w:themeColor="text1"/>
          <w:lang w:val="es-ES_tradnl"/>
        </w:rPr>
        <w:t>(</w:t>
      </w:r>
      <w:proofErr w:type="spellStart"/>
      <w:r w:rsidRPr="000113B8">
        <w:rPr>
          <w:rFonts w:ascii="Garamond" w:hAnsi="Garamond" w:cs="Arial"/>
          <w:color w:val="000000" w:themeColor="text1"/>
          <w:lang w:val="es-ES_tradnl"/>
        </w:rPr>
        <w:t>iii</w:t>
      </w:r>
      <w:proofErr w:type="spellEnd"/>
      <w:r w:rsidRPr="000113B8">
        <w:rPr>
          <w:rFonts w:ascii="Garamond" w:hAnsi="Garamond" w:cs="Arial"/>
          <w:color w:val="000000" w:themeColor="text1"/>
          <w:lang w:val="es-ES_tradnl"/>
        </w:rPr>
        <w:t>) La responsabilidad del reasegurador acompaña al asegurador hasta que vence el seguro directo o hasta que las acciones derivadas de este prescriban.</w:t>
      </w:r>
    </w:p>
    <w:p w14:paraId="29F0F916" w14:textId="77777777" w:rsidR="00A502A1" w:rsidRPr="000113B8" w:rsidRDefault="00A502A1" w:rsidP="00A502A1">
      <w:pPr>
        <w:contextualSpacing/>
        <w:jc w:val="both"/>
        <w:rPr>
          <w:rFonts w:ascii="Garamond" w:hAnsi="Garamond" w:cs="Arial"/>
          <w:color w:val="000000" w:themeColor="text1"/>
          <w:lang w:val="es-ES_tradnl"/>
        </w:rPr>
      </w:pPr>
    </w:p>
    <w:p w14:paraId="1C909690" w14:textId="77777777" w:rsidR="00A502A1" w:rsidRPr="000113B8" w:rsidRDefault="00A502A1" w:rsidP="00A502A1">
      <w:pPr>
        <w:contextualSpacing/>
        <w:jc w:val="both"/>
        <w:rPr>
          <w:rFonts w:ascii="Garamond" w:hAnsi="Garamond" w:cs="Arial"/>
          <w:color w:val="000000" w:themeColor="text1"/>
          <w:lang w:val="es-ES_tradnl"/>
        </w:rPr>
      </w:pPr>
      <w:r w:rsidRPr="000113B8">
        <w:rPr>
          <w:rFonts w:ascii="Garamond" w:hAnsi="Garamond" w:cs="Arial"/>
          <w:color w:val="000000" w:themeColor="text1"/>
          <w:lang w:val="es-ES_tradnl"/>
        </w:rPr>
        <w:t>(</w:t>
      </w:r>
      <w:proofErr w:type="spellStart"/>
      <w:r w:rsidRPr="000113B8">
        <w:rPr>
          <w:rFonts w:ascii="Garamond" w:hAnsi="Garamond" w:cs="Arial"/>
          <w:color w:val="000000" w:themeColor="text1"/>
          <w:lang w:val="es-ES_tradnl"/>
        </w:rPr>
        <w:t>iv</w:t>
      </w:r>
      <w:proofErr w:type="spellEnd"/>
      <w:r w:rsidRPr="000113B8">
        <w:rPr>
          <w:rFonts w:ascii="Garamond" w:hAnsi="Garamond" w:cs="Arial"/>
          <w:color w:val="000000" w:themeColor="text1"/>
          <w:lang w:val="es-ES_tradnl"/>
        </w:rPr>
        <w:t>) El reaseguro no les da derechos a terceros.</w:t>
      </w:r>
    </w:p>
    <w:p w14:paraId="71ECD66B" w14:textId="77777777" w:rsidR="00A502A1" w:rsidRPr="000113B8" w:rsidRDefault="00A502A1" w:rsidP="00A502A1">
      <w:pPr>
        <w:contextualSpacing/>
        <w:jc w:val="both"/>
        <w:rPr>
          <w:rFonts w:ascii="Garamond" w:hAnsi="Garamond" w:cs="Arial"/>
          <w:color w:val="000000" w:themeColor="text1"/>
          <w:lang w:val="es-ES_tradnl"/>
        </w:rPr>
      </w:pPr>
    </w:p>
    <w:p w14:paraId="25EACB59" w14:textId="77777777" w:rsidR="00A502A1" w:rsidRPr="000113B8" w:rsidRDefault="00A502A1" w:rsidP="00A502A1">
      <w:pPr>
        <w:contextualSpacing/>
        <w:jc w:val="both"/>
        <w:rPr>
          <w:rFonts w:ascii="Garamond" w:hAnsi="Garamond" w:cs="Arial"/>
          <w:color w:val="000000" w:themeColor="text1"/>
          <w:lang w:val="es-ES_tradnl"/>
        </w:rPr>
      </w:pPr>
      <w:r w:rsidRPr="000113B8">
        <w:rPr>
          <w:rFonts w:ascii="Garamond" w:hAnsi="Garamond" w:cs="Arial"/>
          <w:color w:val="000000" w:themeColor="text1"/>
          <w:lang w:val="es-ES_tradnl"/>
        </w:rPr>
        <w:t>(v) En ausencia de pacto entre las partes, se aplican las normas sobre el contrato de seguros del Código de Comercio.</w:t>
      </w:r>
    </w:p>
    <w:p w14:paraId="295BC990" w14:textId="77777777" w:rsidR="00AE4323" w:rsidRPr="000113B8" w:rsidRDefault="00AE4323" w:rsidP="00A502A1">
      <w:pPr>
        <w:contextualSpacing/>
        <w:jc w:val="both"/>
        <w:rPr>
          <w:rFonts w:ascii="Garamond" w:hAnsi="Garamond" w:cs="Arial"/>
          <w:color w:val="000000" w:themeColor="text1"/>
          <w:lang w:val="es-ES_tradnl"/>
        </w:rPr>
      </w:pPr>
    </w:p>
    <w:p w14:paraId="617ABBB2" w14:textId="057A0FFD" w:rsidR="00AE4323" w:rsidRPr="000113B8" w:rsidRDefault="00AE4323" w:rsidP="00C54B99">
      <w:pPr>
        <w:pStyle w:val="Prrafodelista"/>
        <w:numPr>
          <w:ilvl w:val="0"/>
          <w:numId w:val="20"/>
        </w:numPr>
        <w:autoSpaceDE/>
        <w:autoSpaceDN/>
        <w:contextualSpacing/>
        <w:jc w:val="both"/>
        <w:rPr>
          <w:rFonts w:ascii="Garamond" w:hAnsi="Garamond" w:cs="Arial"/>
          <w:b/>
          <w:bCs/>
          <w:color w:val="000000" w:themeColor="text1"/>
          <w:lang w:eastAsia="es-CO"/>
        </w:rPr>
      </w:pPr>
      <w:r w:rsidRPr="000113B8">
        <w:rPr>
          <w:rFonts w:ascii="Garamond" w:hAnsi="Garamond" w:cs="Arial"/>
          <w:b/>
          <w:bCs/>
          <w:color w:val="000000" w:themeColor="text1"/>
          <w:lang w:eastAsia="es-CO"/>
        </w:rPr>
        <w:t>Buena Fe</w:t>
      </w:r>
    </w:p>
    <w:p w14:paraId="3C7F7428" w14:textId="77777777" w:rsidR="00AE4323" w:rsidRPr="000113B8" w:rsidRDefault="00AE4323" w:rsidP="00AE4323">
      <w:pPr>
        <w:contextualSpacing/>
        <w:jc w:val="both"/>
        <w:rPr>
          <w:rFonts w:ascii="Garamond" w:hAnsi="Garamond" w:cs="Arial"/>
          <w:color w:val="000000" w:themeColor="text1"/>
          <w:lang w:val="es-ES_tradnl"/>
        </w:rPr>
      </w:pPr>
    </w:p>
    <w:p w14:paraId="0097E9DE" w14:textId="77777777" w:rsidR="00AE4323" w:rsidRPr="000113B8" w:rsidRDefault="00AE4323" w:rsidP="00AE4323">
      <w:pPr>
        <w:contextualSpacing/>
        <w:jc w:val="both"/>
        <w:rPr>
          <w:rFonts w:ascii="Garamond" w:hAnsi="Garamond" w:cs="Arial"/>
          <w:color w:val="000000" w:themeColor="text1"/>
          <w:lang w:val="es-ES_tradnl"/>
        </w:rPr>
      </w:pPr>
      <w:r w:rsidRPr="000113B8">
        <w:rPr>
          <w:rFonts w:ascii="Garamond" w:hAnsi="Garamond" w:cs="Arial"/>
          <w:color w:val="000000" w:themeColor="text1"/>
          <w:lang w:val="es-ES_tradnl"/>
        </w:rPr>
        <w:lastRenderedPageBreak/>
        <w:t xml:space="preserve">Recientemente, la Sala Civil de la Corte Suprema de Justicia, en Sentencia SC 3273 del 2020, abordó el principio de buena fe en la relación entre el asegurador y el reasegurador, indicando que ella </w:t>
      </w:r>
      <w:r w:rsidRPr="00F1003A">
        <w:rPr>
          <w:rFonts w:ascii="Garamond" w:hAnsi="Garamond" w:cs="Arial"/>
          <w:i/>
          <w:color w:val="000000" w:themeColor="text1"/>
          <w:lang w:val="es-ES_tradnl"/>
        </w:rPr>
        <w:t>“se erige como el cimiento más significativo y notable de la relación negocial al punto que se le conoce como “ubérrima buena fe (</w:t>
      </w:r>
      <w:proofErr w:type="spellStart"/>
      <w:r w:rsidRPr="00F1003A">
        <w:rPr>
          <w:rFonts w:ascii="Garamond" w:hAnsi="Garamond" w:cs="Arial"/>
          <w:i/>
          <w:color w:val="000000" w:themeColor="text1"/>
        </w:rPr>
        <w:t>uberrimae</w:t>
      </w:r>
      <w:proofErr w:type="spellEnd"/>
      <w:r w:rsidRPr="00F1003A">
        <w:rPr>
          <w:rFonts w:ascii="Garamond" w:hAnsi="Garamond" w:cs="Arial"/>
          <w:i/>
          <w:color w:val="000000" w:themeColor="text1"/>
        </w:rPr>
        <w:t xml:space="preserve"> </w:t>
      </w:r>
      <w:r w:rsidRPr="00F1003A">
        <w:rPr>
          <w:rFonts w:ascii="Garamond" w:hAnsi="Garamond" w:cs="Arial"/>
          <w:i/>
          <w:color w:val="000000" w:themeColor="text1"/>
          <w:lang w:val="es-ES_tradnl"/>
        </w:rPr>
        <w:t>fides)”</w:t>
      </w:r>
      <w:r w:rsidRPr="000113B8">
        <w:rPr>
          <w:rFonts w:ascii="Garamond" w:hAnsi="Garamond" w:cs="Arial"/>
          <w:color w:val="000000" w:themeColor="text1"/>
          <w:lang w:val="es-ES_tradnl"/>
        </w:rPr>
        <w:t xml:space="preserve"> o “</w:t>
      </w:r>
      <w:r w:rsidRPr="00F1003A">
        <w:rPr>
          <w:rFonts w:ascii="Garamond" w:hAnsi="Garamond" w:cs="Arial"/>
          <w:i/>
          <w:color w:val="000000" w:themeColor="text1"/>
          <w:lang w:val="es-ES_tradnl"/>
        </w:rPr>
        <w:t>máxima buena fe (</w:t>
      </w:r>
      <w:proofErr w:type="spellStart"/>
      <w:r w:rsidRPr="00F1003A">
        <w:rPr>
          <w:rFonts w:ascii="Garamond" w:hAnsi="Garamond" w:cs="Arial"/>
          <w:i/>
          <w:color w:val="000000" w:themeColor="text1"/>
        </w:rPr>
        <w:t>utmost</w:t>
      </w:r>
      <w:proofErr w:type="spellEnd"/>
      <w:r w:rsidRPr="00F1003A">
        <w:rPr>
          <w:rFonts w:ascii="Garamond" w:hAnsi="Garamond" w:cs="Arial"/>
          <w:i/>
          <w:color w:val="000000" w:themeColor="text1"/>
        </w:rPr>
        <w:t xml:space="preserve"> </w:t>
      </w:r>
      <w:proofErr w:type="spellStart"/>
      <w:r w:rsidRPr="00F1003A">
        <w:rPr>
          <w:rFonts w:ascii="Garamond" w:hAnsi="Garamond" w:cs="Arial"/>
          <w:i/>
          <w:color w:val="000000" w:themeColor="text1"/>
        </w:rPr>
        <w:t>good</w:t>
      </w:r>
      <w:proofErr w:type="spellEnd"/>
      <w:r w:rsidRPr="00F1003A">
        <w:rPr>
          <w:rFonts w:ascii="Garamond" w:hAnsi="Garamond" w:cs="Arial"/>
          <w:i/>
          <w:color w:val="000000" w:themeColor="text1"/>
        </w:rPr>
        <w:t xml:space="preserve"> </w:t>
      </w:r>
      <w:proofErr w:type="spellStart"/>
      <w:r w:rsidRPr="00F1003A">
        <w:rPr>
          <w:rFonts w:ascii="Garamond" w:hAnsi="Garamond" w:cs="Arial"/>
          <w:i/>
          <w:color w:val="000000" w:themeColor="text1"/>
        </w:rPr>
        <w:t>faith</w:t>
      </w:r>
      <w:proofErr w:type="spellEnd"/>
      <w:r w:rsidRPr="00F1003A">
        <w:rPr>
          <w:rFonts w:ascii="Garamond" w:hAnsi="Garamond" w:cs="Arial"/>
          <w:i/>
          <w:color w:val="000000" w:themeColor="text1"/>
          <w:lang w:val="es-ES_tradnl"/>
        </w:rPr>
        <w:t>)”.</w:t>
      </w:r>
      <w:r w:rsidRPr="000113B8">
        <w:rPr>
          <w:rFonts w:ascii="Garamond" w:hAnsi="Garamond" w:cs="Arial"/>
          <w:color w:val="000000" w:themeColor="text1"/>
          <w:lang w:val="es-ES_tradnl"/>
        </w:rPr>
        <w:t xml:space="preserve"> En esta sentencia, la alta corporación analizó en detalle los compromisos que el asegurador debe honrar para proteger los intereses del reasegurador en la gestión del contrato del seguro, el pago de la indemnización e, incluso, la subrogación. Y concluyó que el asegurador puede responder en caso de que el resultado de la subrogación no sea totalmente positivo para los intereses del reasegurador.</w:t>
      </w:r>
    </w:p>
    <w:p w14:paraId="5EF39A20" w14:textId="77777777" w:rsidR="00AE4323" w:rsidRPr="000113B8" w:rsidRDefault="00AE4323" w:rsidP="00AE4323">
      <w:pPr>
        <w:contextualSpacing/>
        <w:jc w:val="both"/>
        <w:rPr>
          <w:rFonts w:ascii="Garamond" w:hAnsi="Garamond" w:cs="Arial"/>
          <w:color w:val="000000" w:themeColor="text1"/>
          <w:lang w:val="es-ES_tradnl"/>
        </w:rPr>
      </w:pPr>
    </w:p>
    <w:p w14:paraId="426CAB79" w14:textId="77777777" w:rsidR="00AE4323" w:rsidRPr="000113B8" w:rsidRDefault="00AE4323" w:rsidP="00AE4323">
      <w:pPr>
        <w:contextualSpacing/>
        <w:jc w:val="both"/>
        <w:rPr>
          <w:rFonts w:ascii="Garamond" w:hAnsi="Garamond" w:cs="Arial"/>
          <w:color w:val="000000" w:themeColor="text1"/>
          <w:lang w:val="es-ES_tradnl"/>
        </w:rPr>
      </w:pPr>
      <w:r w:rsidRPr="000113B8">
        <w:rPr>
          <w:rFonts w:ascii="Garamond" w:hAnsi="Garamond" w:cs="Arial"/>
          <w:color w:val="000000" w:themeColor="text1"/>
          <w:lang w:val="es-ES_tradnl"/>
        </w:rPr>
        <w:t>La dispersión del riesgo también tiene como consecuencia la naturaleza transfronteriza e internacional del contrato de reaseguro, pues, naturalmente, dicha dispersión implica acudir a entidades en jurisdicciones foráneas, en las cuales los mercados de capitales son algo más sofisticados y, así, garantizar mayores opciones de gestión de los portafolios de los reaseguradores donde se custodian las primas recibidas para soportar los riesgos.</w:t>
      </w:r>
    </w:p>
    <w:p w14:paraId="5DFB0AD6" w14:textId="77777777" w:rsidR="00AE4323" w:rsidRPr="000113B8" w:rsidRDefault="00AE4323" w:rsidP="00AE4323">
      <w:pPr>
        <w:jc w:val="both"/>
        <w:rPr>
          <w:rFonts w:ascii="Garamond" w:eastAsia="Batang" w:hAnsi="Garamond" w:cs="Arial"/>
          <w:color w:val="000000" w:themeColor="text1"/>
          <w:lang w:val="es-ES_tradnl"/>
        </w:rPr>
      </w:pPr>
    </w:p>
    <w:p w14:paraId="02DB9155" w14:textId="44008479" w:rsidR="00AE4323" w:rsidRPr="000113B8" w:rsidRDefault="00AE4323" w:rsidP="00C54B99">
      <w:pPr>
        <w:pStyle w:val="Prrafodelista"/>
        <w:widowControl/>
        <w:numPr>
          <w:ilvl w:val="0"/>
          <w:numId w:val="20"/>
        </w:numPr>
        <w:autoSpaceDE/>
        <w:autoSpaceDN/>
        <w:spacing w:after="200"/>
        <w:contextualSpacing/>
        <w:jc w:val="both"/>
        <w:rPr>
          <w:rFonts w:ascii="Garamond" w:hAnsi="Garamond"/>
          <w:b/>
          <w:color w:val="000000" w:themeColor="text1"/>
        </w:rPr>
      </w:pPr>
      <w:r w:rsidRPr="000113B8">
        <w:rPr>
          <w:rFonts w:ascii="Garamond" w:hAnsi="Garamond"/>
          <w:b/>
          <w:color w:val="000000" w:themeColor="text1"/>
        </w:rPr>
        <w:t>Autorización de los ramos</w:t>
      </w:r>
    </w:p>
    <w:p w14:paraId="3C631856" w14:textId="7A70403D" w:rsidR="00AE4323" w:rsidRPr="000113B8" w:rsidRDefault="00AE4323" w:rsidP="00AE4323">
      <w:pPr>
        <w:jc w:val="both"/>
        <w:rPr>
          <w:rFonts w:ascii="Garamond" w:hAnsi="Garamond"/>
          <w:color w:val="000000" w:themeColor="text1"/>
        </w:rPr>
      </w:pPr>
      <w:r w:rsidRPr="000113B8">
        <w:rPr>
          <w:rFonts w:ascii="Garamond" w:hAnsi="Garamond"/>
          <w:color w:val="000000" w:themeColor="text1"/>
        </w:rPr>
        <w:t xml:space="preserve">Para el presente proceso de </w:t>
      </w:r>
      <w:r w:rsidR="00F1003A" w:rsidRPr="000113B8">
        <w:rPr>
          <w:rFonts w:ascii="Garamond" w:hAnsi="Garamond"/>
          <w:color w:val="000000" w:themeColor="text1"/>
        </w:rPr>
        <w:t xml:space="preserve">selección </w:t>
      </w:r>
      <w:r w:rsidR="00F1003A">
        <w:rPr>
          <w:rFonts w:ascii="Garamond" w:hAnsi="Garamond"/>
          <w:color w:val="000000" w:themeColor="text1"/>
        </w:rPr>
        <w:t xml:space="preserve">contractual </w:t>
      </w:r>
      <w:r w:rsidRPr="000113B8">
        <w:rPr>
          <w:rFonts w:ascii="Garamond" w:hAnsi="Garamond"/>
          <w:color w:val="000000" w:themeColor="text1"/>
        </w:rPr>
        <w:t xml:space="preserve">se hace necesario que los proponentes cuenten con la aprobación del ramo requerido por </w:t>
      </w:r>
      <w:r w:rsidR="00F1003A">
        <w:rPr>
          <w:rFonts w:ascii="Garamond" w:hAnsi="Garamond"/>
          <w:color w:val="000000" w:themeColor="text1"/>
        </w:rPr>
        <w:t>el Fondo.</w:t>
      </w:r>
    </w:p>
    <w:p w14:paraId="40A96666" w14:textId="77777777" w:rsidR="00AE4323" w:rsidRPr="000113B8" w:rsidRDefault="00AE4323" w:rsidP="00AE4323">
      <w:pPr>
        <w:jc w:val="both"/>
        <w:rPr>
          <w:rFonts w:ascii="Garamond" w:hAnsi="Garamond"/>
          <w:color w:val="000000" w:themeColor="text1"/>
        </w:rPr>
      </w:pPr>
    </w:p>
    <w:p w14:paraId="3DCA28A7" w14:textId="77777777" w:rsidR="00AE4323" w:rsidRPr="000113B8" w:rsidRDefault="00AE4323" w:rsidP="00AE4323">
      <w:pPr>
        <w:jc w:val="both"/>
        <w:rPr>
          <w:rFonts w:ascii="Garamond" w:hAnsi="Garamond"/>
          <w:color w:val="000000" w:themeColor="text1"/>
        </w:rPr>
      </w:pPr>
      <w:r w:rsidRPr="000113B8">
        <w:rPr>
          <w:rFonts w:ascii="Garamond" w:hAnsi="Garamond"/>
          <w:color w:val="000000" w:themeColor="text1"/>
        </w:rPr>
        <w:t xml:space="preserve">En caso de presentar propuesta bajo la modalidad de consorcio o unión temporal es importante precisar que, en atención a la naturaleza propia de las figuras del Consorcio y la Unión Temporal, en donde uno de los elementos característicos de estas relaciones es la solidaridad existente entre los integrantes frente a las obligaciones de la propuesta y del contrato, siendo cada aseguradora integrante deudor principal frente a la Entidad Estatal contratante, es necesario que cada una de las compañías cumplan individualmente considerados con los requisitos legales establecidos en la normativa financiera para poder ejecutar las obligaciones contractuales establecidas, dentro de los cuales se encuentra </w:t>
      </w:r>
      <w:r w:rsidRPr="000113B8">
        <w:rPr>
          <w:rFonts w:ascii="Garamond" w:hAnsi="Garamond"/>
          <w:b/>
          <w:color w:val="000000" w:themeColor="text1"/>
        </w:rPr>
        <w:t>tener autorizado el ramo de seguros que se va a comercializar</w:t>
      </w:r>
      <w:r w:rsidRPr="000113B8">
        <w:rPr>
          <w:rFonts w:ascii="Garamond" w:hAnsi="Garamond"/>
          <w:color w:val="000000" w:themeColor="text1"/>
        </w:rPr>
        <w:t>, en atención a lo establecido en el numeral 2 del artículo 326 en concordancia con el artículo 184 del (*)Estatuto Orgánico del Sistema Financiero, por cuanto para la Superintendencia Financiera de Colombia, la participación en consorcio o uniones temporales cuando no se tiene el ramo aprobado, es considerado como una práctica insegura, por lo cual se EXIGE que cada uno de los integrantes cuente con la debida aprobación de cada uno de los ramos objeto del presente proceso.</w:t>
      </w:r>
    </w:p>
    <w:p w14:paraId="0F866118" w14:textId="77777777" w:rsidR="00AE4323" w:rsidRPr="000113B8" w:rsidRDefault="00AE4323" w:rsidP="00AE4323">
      <w:pPr>
        <w:jc w:val="both"/>
        <w:rPr>
          <w:rFonts w:ascii="Garamond" w:hAnsi="Garamond"/>
          <w:color w:val="000000" w:themeColor="text1"/>
        </w:rPr>
      </w:pPr>
    </w:p>
    <w:p w14:paraId="314781B4" w14:textId="77777777" w:rsidR="00AE4323" w:rsidRPr="000113B8" w:rsidRDefault="00AE4323" w:rsidP="00AE4323">
      <w:pPr>
        <w:jc w:val="both"/>
        <w:rPr>
          <w:rFonts w:ascii="Garamond" w:hAnsi="Garamond"/>
          <w:color w:val="000000" w:themeColor="text1"/>
        </w:rPr>
      </w:pPr>
      <w:r w:rsidRPr="000113B8">
        <w:rPr>
          <w:rFonts w:ascii="Garamond" w:hAnsi="Garamond"/>
          <w:color w:val="000000" w:themeColor="text1"/>
        </w:rPr>
        <w:t>Así mismo, es importe señalar que no resulta necesaria la aprobación de un nuevo ramo para el ofrecimiento de productos que comprendan diversidad de amparos susceptibles de ser explotados bajo los ramos ya autorizados a la entidad. En tales eventos, las primas, siniestros y demás gastos e ingresos que se deriven de dichos amparos se deben clasificar bajo el ramo o ramos a los cuales correspondan los amparos respectivos. No obstante, lo anterior, cuando quiera que mediante la expedición de tales amparos la entidad alcance una producción de un ramo no autorizado que se pueda considerar como significativa, debe solicitar la correspondiente autorización, sin la cual la entidad no podrá continuar expidiendo tales amparos.</w:t>
      </w:r>
    </w:p>
    <w:p w14:paraId="1F47A1C5" w14:textId="77777777" w:rsidR="00AE4323" w:rsidRPr="000113B8" w:rsidRDefault="00AE4323" w:rsidP="00AE4323">
      <w:pPr>
        <w:jc w:val="both"/>
        <w:rPr>
          <w:rFonts w:ascii="Garamond" w:hAnsi="Garamond"/>
          <w:color w:val="000000" w:themeColor="text1"/>
        </w:rPr>
      </w:pPr>
    </w:p>
    <w:p w14:paraId="1A15D211" w14:textId="77777777" w:rsidR="00AE4323" w:rsidRPr="000113B8" w:rsidRDefault="00AE4323" w:rsidP="00AE4323">
      <w:pPr>
        <w:jc w:val="both"/>
        <w:rPr>
          <w:rFonts w:ascii="Garamond" w:hAnsi="Garamond"/>
          <w:color w:val="000000" w:themeColor="text1"/>
        </w:rPr>
      </w:pPr>
      <w:r w:rsidRPr="000113B8">
        <w:rPr>
          <w:rFonts w:ascii="Garamond" w:hAnsi="Garamond"/>
          <w:color w:val="000000" w:themeColor="text1"/>
        </w:rPr>
        <w:t>Se considera que la expedición de amparos es SIGNIFICATIVA cuando quiera que el monto de la producción de una cobertura adicional SUPERE el 15% de la obtenida por las demás coberturas de la póliza.</w:t>
      </w:r>
    </w:p>
    <w:p w14:paraId="4586DA8A" w14:textId="77777777" w:rsidR="00AE4323" w:rsidRPr="000113B8" w:rsidRDefault="00AE4323" w:rsidP="00A502A1">
      <w:pPr>
        <w:contextualSpacing/>
        <w:jc w:val="both"/>
        <w:rPr>
          <w:rFonts w:ascii="Garamond" w:hAnsi="Garamond" w:cs="Arial"/>
          <w:color w:val="000000" w:themeColor="text1"/>
        </w:rPr>
      </w:pPr>
    </w:p>
    <w:p w14:paraId="2F1907CE" w14:textId="37F34C47" w:rsidR="00C3619D" w:rsidRPr="000113B8" w:rsidRDefault="003A4B1F" w:rsidP="00C54B99">
      <w:pPr>
        <w:pStyle w:val="Prrafodelista"/>
        <w:numPr>
          <w:ilvl w:val="1"/>
          <w:numId w:val="2"/>
        </w:numPr>
        <w:rPr>
          <w:rFonts w:ascii="Garamond" w:hAnsi="Garamond"/>
          <w:b/>
          <w:bCs/>
          <w:color w:val="000000" w:themeColor="text1"/>
        </w:rPr>
      </w:pPr>
      <w:r w:rsidRPr="000113B8">
        <w:rPr>
          <w:rFonts w:ascii="Garamond" w:hAnsi="Garamond"/>
          <w:b/>
          <w:bCs/>
          <w:color w:val="000000" w:themeColor="text1"/>
        </w:rPr>
        <w:t>Normatividad Aplicable</w:t>
      </w:r>
    </w:p>
    <w:p w14:paraId="6E4D26C0" w14:textId="77777777" w:rsidR="00C3619D" w:rsidRPr="000113B8" w:rsidRDefault="00C3619D" w:rsidP="00C3619D">
      <w:pPr>
        <w:pStyle w:val="Textoindependiente"/>
        <w:spacing w:before="8"/>
        <w:rPr>
          <w:rFonts w:ascii="Garamond" w:hAnsi="Garamond"/>
          <w:b/>
          <w:color w:val="000000" w:themeColor="text1"/>
        </w:rPr>
      </w:pPr>
    </w:p>
    <w:p w14:paraId="20D48771" w14:textId="77777777" w:rsidR="00C3619D" w:rsidRPr="000113B8" w:rsidRDefault="00C3619D" w:rsidP="00C3619D">
      <w:pPr>
        <w:pStyle w:val="Prrafodelista"/>
        <w:numPr>
          <w:ilvl w:val="0"/>
          <w:numId w:val="1"/>
        </w:numPr>
        <w:tabs>
          <w:tab w:val="left" w:pos="982"/>
        </w:tabs>
        <w:spacing w:before="0"/>
        <w:ind w:hanging="361"/>
        <w:jc w:val="both"/>
        <w:rPr>
          <w:rFonts w:ascii="Garamond" w:hAnsi="Garamond"/>
          <w:color w:val="000000" w:themeColor="text1"/>
        </w:rPr>
      </w:pPr>
      <w:r w:rsidRPr="000113B8">
        <w:rPr>
          <w:rFonts w:ascii="Garamond" w:hAnsi="Garamond"/>
          <w:color w:val="000000" w:themeColor="text1"/>
          <w:spacing w:val="-6"/>
        </w:rPr>
        <w:t>Constitución</w:t>
      </w:r>
      <w:r w:rsidRPr="000113B8">
        <w:rPr>
          <w:rFonts w:ascii="Garamond" w:hAnsi="Garamond"/>
          <w:color w:val="000000" w:themeColor="text1"/>
          <w:spacing w:val="4"/>
        </w:rPr>
        <w:t xml:space="preserve"> </w:t>
      </w:r>
      <w:r w:rsidRPr="000113B8">
        <w:rPr>
          <w:rFonts w:ascii="Garamond" w:hAnsi="Garamond"/>
          <w:color w:val="000000" w:themeColor="text1"/>
          <w:spacing w:val="-6"/>
        </w:rPr>
        <w:t>Política</w:t>
      </w:r>
      <w:r w:rsidRPr="000113B8">
        <w:rPr>
          <w:rFonts w:ascii="Garamond" w:hAnsi="Garamond"/>
          <w:color w:val="000000" w:themeColor="text1"/>
          <w:spacing w:val="2"/>
        </w:rPr>
        <w:t xml:space="preserve"> </w:t>
      </w:r>
      <w:r w:rsidRPr="000113B8">
        <w:rPr>
          <w:rFonts w:ascii="Garamond" w:hAnsi="Garamond"/>
          <w:color w:val="000000" w:themeColor="text1"/>
          <w:spacing w:val="-6"/>
        </w:rPr>
        <w:t>de</w:t>
      </w:r>
      <w:r w:rsidRPr="000113B8">
        <w:rPr>
          <w:rFonts w:ascii="Garamond" w:hAnsi="Garamond"/>
          <w:color w:val="000000" w:themeColor="text1"/>
          <w:spacing w:val="2"/>
        </w:rPr>
        <w:t xml:space="preserve"> </w:t>
      </w:r>
      <w:r w:rsidRPr="000113B8">
        <w:rPr>
          <w:rFonts w:ascii="Garamond" w:hAnsi="Garamond"/>
          <w:color w:val="000000" w:themeColor="text1"/>
          <w:spacing w:val="-6"/>
        </w:rPr>
        <w:t>Colombia</w:t>
      </w:r>
      <w:r w:rsidRPr="000113B8">
        <w:rPr>
          <w:rFonts w:ascii="Garamond" w:hAnsi="Garamond"/>
          <w:color w:val="000000" w:themeColor="text1"/>
          <w:spacing w:val="3"/>
        </w:rPr>
        <w:t xml:space="preserve"> </w:t>
      </w:r>
      <w:r w:rsidRPr="000113B8">
        <w:rPr>
          <w:rFonts w:ascii="Garamond" w:hAnsi="Garamond"/>
          <w:color w:val="000000" w:themeColor="text1"/>
          <w:spacing w:val="-6"/>
        </w:rPr>
        <w:t>de</w:t>
      </w:r>
      <w:r w:rsidRPr="000113B8">
        <w:rPr>
          <w:rFonts w:ascii="Garamond" w:hAnsi="Garamond"/>
          <w:color w:val="000000" w:themeColor="text1"/>
          <w:spacing w:val="1"/>
        </w:rPr>
        <w:t xml:space="preserve"> </w:t>
      </w:r>
      <w:r w:rsidRPr="000113B8">
        <w:rPr>
          <w:rFonts w:ascii="Garamond" w:hAnsi="Garamond"/>
          <w:color w:val="000000" w:themeColor="text1"/>
          <w:spacing w:val="-6"/>
        </w:rPr>
        <w:t>1991</w:t>
      </w:r>
      <w:r w:rsidRPr="000113B8">
        <w:rPr>
          <w:rFonts w:ascii="Garamond" w:hAnsi="Garamond"/>
          <w:i/>
          <w:iCs/>
          <w:color w:val="000000" w:themeColor="text1"/>
          <w:spacing w:val="-6"/>
        </w:rPr>
        <w:t xml:space="preserve"> </w:t>
      </w:r>
    </w:p>
    <w:p w14:paraId="145CBEEA" w14:textId="77777777" w:rsidR="00C3619D" w:rsidRPr="000113B8" w:rsidRDefault="00C3619D" w:rsidP="00C3619D">
      <w:pPr>
        <w:pStyle w:val="Prrafodelista"/>
        <w:numPr>
          <w:ilvl w:val="0"/>
          <w:numId w:val="1"/>
        </w:numPr>
        <w:tabs>
          <w:tab w:val="left" w:pos="982"/>
        </w:tabs>
        <w:spacing w:before="0"/>
        <w:ind w:hanging="361"/>
        <w:jc w:val="both"/>
        <w:rPr>
          <w:rFonts w:ascii="Garamond" w:hAnsi="Garamond"/>
          <w:color w:val="000000" w:themeColor="text1"/>
        </w:rPr>
      </w:pPr>
      <w:r w:rsidRPr="000113B8">
        <w:rPr>
          <w:rFonts w:ascii="Garamond" w:hAnsi="Garamond"/>
          <w:color w:val="000000" w:themeColor="text1"/>
          <w:spacing w:val="-6"/>
        </w:rPr>
        <w:t>Ley 80 de 1993: “</w:t>
      </w:r>
      <w:r w:rsidRPr="000113B8">
        <w:rPr>
          <w:rFonts w:ascii="Garamond" w:hAnsi="Garamond"/>
          <w:i/>
          <w:iCs/>
          <w:color w:val="000000" w:themeColor="text1"/>
          <w:spacing w:val="-6"/>
        </w:rPr>
        <w:t>Régimen general de contratación pública”. Congreso de la República.</w:t>
      </w:r>
    </w:p>
    <w:p w14:paraId="4514C7B6" w14:textId="77777777" w:rsidR="00C3619D" w:rsidRPr="000113B8" w:rsidRDefault="00C3619D" w:rsidP="00C3619D">
      <w:pPr>
        <w:pStyle w:val="Prrafodelista"/>
        <w:numPr>
          <w:ilvl w:val="0"/>
          <w:numId w:val="1"/>
        </w:numPr>
        <w:tabs>
          <w:tab w:val="left" w:pos="982"/>
        </w:tabs>
        <w:spacing w:before="0"/>
        <w:ind w:hanging="361"/>
        <w:jc w:val="both"/>
        <w:rPr>
          <w:rFonts w:ascii="Garamond" w:hAnsi="Garamond"/>
          <w:color w:val="000000" w:themeColor="text1"/>
        </w:rPr>
      </w:pPr>
      <w:r w:rsidRPr="000113B8">
        <w:rPr>
          <w:rFonts w:ascii="Garamond" w:hAnsi="Garamond"/>
          <w:color w:val="000000" w:themeColor="text1"/>
          <w:spacing w:val="-6"/>
        </w:rPr>
        <w:t>Ley 1150 de 2007. “</w:t>
      </w:r>
      <w:r w:rsidRPr="000113B8">
        <w:rPr>
          <w:rFonts w:ascii="Garamond" w:hAnsi="Garamond"/>
          <w:i/>
          <w:iCs/>
          <w:color w:val="000000" w:themeColor="text1"/>
          <w:spacing w:val="-6"/>
        </w:rPr>
        <w:t>Modifica y complementa la Ley 80, introduciendo criterios de selección objetiva.” -Congreso de la República.</w:t>
      </w:r>
    </w:p>
    <w:p w14:paraId="493E6D81" w14:textId="77777777" w:rsidR="00C3619D" w:rsidRPr="000113B8" w:rsidRDefault="00C3619D" w:rsidP="00C3619D">
      <w:pPr>
        <w:pStyle w:val="Prrafodelista"/>
        <w:numPr>
          <w:ilvl w:val="0"/>
          <w:numId w:val="1"/>
        </w:numPr>
        <w:tabs>
          <w:tab w:val="left" w:pos="982"/>
        </w:tabs>
        <w:spacing w:before="0"/>
        <w:ind w:hanging="361"/>
        <w:jc w:val="both"/>
        <w:rPr>
          <w:rFonts w:ascii="Garamond" w:hAnsi="Garamond"/>
          <w:i/>
          <w:iCs/>
          <w:color w:val="000000" w:themeColor="text1"/>
        </w:rPr>
      </w:pPr>
      <w:r w:rsidRPr="000113B8">
        <w:rPr>
          <w:rFonts w:ascii="Garamond" w:hAnsi="Garamond"/>
          <w:color w:val="000000" w:themeColor="text1"/>
        </w:rPr>
        <w:t xml:space="preserve">Ley 45 de 1990, </w:t>
      </w:r>
      <w:r w:rsidRPr="000113B8">
        <w:rPr>
          <w:rFonts w:ascii="Garamond" w:hAnsi="Garamond"/>
          <w:i/>
          <w:iCs/>
          <w:color w:val="000000" w:themeColor="text1"/>
        </w:rPr>
        <w:t xml:space="preserve">“Regula la organización y funcionamiento del sistema financiero y asegurador.” Expedida por el Congreso de la República, la cual establece las bases del sistema financiero y asegurador, definiendo aspectos esenciales </w:t>
      </w:r>
      <w:r w:rsidRPr="000113B8">
        <w:rPr>
          <w:rFonts w:ascii="Garamond" w:hAnsi="Garamond"/>
          <w:i/>
          <w:iCs/>
          <w:color w:val="000000" w:themeColor="text1"/>
        </w:rPr>
        <w:lastRenderedPageBreak/>
        <w:t>como la autorización de las compañías de seguros, su objeto social y las condiciones para operar en el país, incluyendo la obligatoriedad de que las aseguradoras estén legalmente constituidas en Colombia</w:t>
      </w:r>
    </w:p>
    <w:p w14:paraId="4DB90482" w14:textId="571BDD9A" w:rsidR="00C75C45" w:rsidRPr="000113B8" w:rsidRDefault="00C3619D" w:rsidP="00C75C45">
      <w:pPr>
        <w:pStyle w:val="Prrafodelista"/>
        <w:numPr>
          <w:ilvl w:val="0"/>
          <w:numId w:val="1"/>
        </w:numPr>
        <w:tabs>
          <w:tab w:val="left" w:pos="982"/>
        </w:tabs>
        <w:spacing w:before="0"/>
        <w:ind w:hanging="361"/>
        <w:jc w:val="both"/>
        <w:rPr>
          <w:rFonts w:ascii="Garamond" w:hAnsi="Garamond"/>
          <w:color w:val="000000" w:themeColor="text1"/>
        </w:rPr>
      </w:pPr>
      <w:r w:rsidRPr="000113B8">
        <w:rPr>
          <w:rFonts w:ascii="Garamond" w:hAnsi="Garamond"/>
          <w:color w:val="000000" w:themeColor="text1"/>
        </w:rPr>
        <w:t>Ley 35 de 1993, “</w:t>
      </w:r>
      <w:r w:rsidRPr="000113B8">
        <w:rPr>
          <w:rFonts w:ascii="Garamond" w:hAnsi="Garamond"/>
          <w:i/>
          <w:iCs/>
          <w:color w:val="000000" w:themeColor="text1"/>
        </w:rPr>
        <w:t>Marco general del sistema financiero, bursátil y asegurador”. Expedida por el Congreso, establece los lineamientos generales del sistema financiero, bursátil y asegurador, otorgando facultades al Gobierno Nacional para reglamentar estas actividades, lo que dio origen al Estatuto Orgánico del Sistema Financiero, expedido por el presidente de la República, que consolida la regulación de las entidades financieras y aseguradoras.</w:t>
      </w:r>
    </w:p>
    <w:p w14:paraId="13AB5FC6" w14:textId="18A1639A" w:rsidR="00C75C45" w:rsidRPr="000113B8" w:rsidRDefault="00C75C45" w:rsidP="00EC7684">
      <w:pPr>
        <w:pStyle w:val="Prrafodelista"/>
        <w:numPr>
          <w:ilvl w:val="0"/>
          <w:numId w:val="1"/>
        </w:numPr>
        <w:jc w:val="both"/>
        <w:rPr>
          <w:rFonts w:ascii="Garamond" w:hAnsi="Garamond" w:cs="Garamond"/>
          <w:bCs/>
          <w:i/>
          <w:iCs/>
          <w:color w:val="000000" w:themeColor="text1"/>
        </w:rPr>
      </w:pPr>
      <w:r w:rsidRPr="000113B8">
        <w:rPr>
          <w:rFonts w:ascii="Garamond" w:hAnsi="Garamond"/>
          <w:color w:val="000000" w:themeColor="text1"/>
        </w:rPr>
        <w:t xml:space="preserve">La Ley 42 de 1993, </w:t>
      </w:r>
      <w:r w:rsidRPr="000113B8">
        <w:rPr>
          <w:rFonts w:ascii="Garamond" w:hAnsi="Garamond" w:cs="Garamond"/>
          <w:bCs/>
          <w:color w:val="000000" w:themeColor="text1"/>
        </w:rPr>
        <w:t xml:space="preserve">referida a la organización del sistema de control fiscal financiero y los organismos que lo ejercen, señala: </w:t>
      </w:r>
      <w:r w:rsidRPr="000113B8">
        <w:rPr>
          <w:rFonts w:ascii="Garamond" w:hAnsi="Garamond" w:cs="Garamond"/>
          <w:bCs/>
          <w:i/>
          <w:iCs/>
          <w:color w:val="000000" w:themeColor="text1"/>
          <w:lang w:val="es-ES_tradnl"/>
        </w:rPr>
        <w:t>Artículo</w:t>
      </w:r>
      <w:r w:rsidRPr="000113B8">
        <w:rPr>
          <w:rFonts w:ascii="Garamond" w:hAnsi="Garamond" w:cs="Garamond"/>
          <w:bCs/>
          <w:i/>
          <w:iCs/>
          <w:color w:val="000000" w:themeColor="text1"/>
        </w:rPr>
        <w:t>. 107: “Los órganos de control fiscal verificarán que los bienes del Estado estén debidamente amparados por una póliza de seguros o un fondo especial creado para tal fin, pudiendo establecer responsabilidad fiscal a los tomadores cuando las circunstancias lo ameriten”.</w:t>
      </w:r>
    </w:p>
    <w:p w14:paraId="4F7F24C7" w14:textId="77777777" w:rsidR="00721297" w:rsidRPr="000113B8" w:rsidRDefault="00C75C45" w:rsidP="00EC7684">
      <w:pPr>
        <w:pStyle w:val="Prrafodelista"/>
        <w:numPr>
          <w:ilvl w:val="0"/>
          <w:numId w:val="1"/>
        </w:numPr>
        <w:tabs>
          <w:tab w:val="left" w:pos="982"/>
        </w:tabs>
        <w:spacing w:before="0"/>
        <w:ind w:hanging="361"/>
        <w:jc w:val="both"/>
        <w:rPr>
          <w:rFonts w:ascii="Garamond" w:hAnsi="Garamond"/>
          <w:i/>
          <w:iCs/>
          <w:color w:val="000000" w:themeColor="text1"/>
        </w:rPr>
      </w:pPr>
      <w:r w:rsidRPr="000113B8">
        <w:rPr>
          <w:rFonts w:ascii="Garamond" w:hAnsi="Garamond" w:cs="Garamond"/>
          <w:bCs/>
          <w:color w:val="000000" w:themeColor="text1"/>
          <w:lang w:val="es-ES_tradnl"/>
        </w:rPr>
        <w:t xml:space="preserve">La Ley 136 de 1994, Por la cual se dictan normas tendientes a modernizar la organización y el funcionamiento de los municipios. </w:t>
      </w:r>
      <w:r w:rsidRPr="000113B8">
        <w:rPr>
          <w:rFonts w:ascii="Garamond" w:hAnsi="Garamond" w:cs="Garamond"/>
          <w:bCs/>
          <w:i/>
          <w:iCs/>
          <w:color w:val="000000" w:themeColor="text1"/>
          <w:lang w:val="es-ES_tradnl"/>
        </w:rPr>
        <w:t>Artículo 68: “Los Concejales tendrán derecho durante el período para el cual han sido elegidos, a un seguro de vida equivalente a veinte veces del salario mensual vigente para el alcalde”.</w:t>
      </w:r>
    </w:p>
    <w:p w14:paraId="5BB2BB56" w14:textId="77777777" w:rsidR="00721297" w:rsidRPr="000113B8" w:rsidRDefault="00721297" w:rsidP="00721297">
      <w:pPr>
        <w:pStyle w:val="Prrafodelista"/>
        <w:numPr>
          <w:ilvl w:val="0"/>
          <w:numId w:val="1"/>
        </w:numPr>
        <w:jc w:val="both"/>
        <w:rPr>
          <w:rFonts w:ascii="Garamond" w:hAnsi="Garamond"/>
          <w:color w:val="000000" w:themeColor="text1"/>
        </w:rPr>
      </w:pPr>
      <w:r w:rsidRPr="000113B8">
        <w:rPr>
          <w:rFonts w:ascii="Garamond" w:hAnsi="Garamond"/>
          <w:color w:val="000000" w:themeColor="text1"/>
        </w:rPr>
        <w:t>La Ley 389 de 1997, por la cual se modifican los artículos 1036 y 1046 del Código de Comercio.</w:t>
      </w:r>
    </w:p>
    <w:p w14:paraId="3ECA0891" w14:textId="77777777" w:rsidR="00721297" w:rsidRPr="000113B8" w:rsidRDefault="00721297" w:rsidP="00721297">
      <w:pPr>
        <w:pStyle w:val="Prrafodelista"/>
        <w:numPr>
          <w:ilvl w:val="0"/>
          <w:numId w:val="1"/>
        </w:numPr>
        <w:jc w:val="both"/>
        <w:rPr>
          <w:rFonts w:ascii="Garamond" w:hAnsi="Garamond"/>
          <w:color w:val="000000" w:themeColor="text1"/>
        </w:rPr>
      </w:pPr>
      <w:r w:rsidRPr="000113B8">
        <w:rPr>
          <w:rFonts w:ascii="Garamond" w:hAnsi="Garamond"/>
          <w:color w:val="000000" w:themeColor="text1"/>
        </w:rPr>
        <w:t>La Ley 795 de 2003, por la cual se ajustan algunas normas del Estatuto Orgánico del Sistema Financiero y se dictan otras disposiciones.</w:t>
      </w:r>
    </w:p>
    <w:p w14:paraId="27F27885" w14:textId="710E5FD3" w:rsidR="00C3619D" w:rsidRPr="000113B8" w:rsidRDefault="00C3619D" w:rsidP="00EC7684">
      <w:pPr>
        <w:pStyle w:val="Prrafodelista"/>
        <w:numPr>
          <w:ilvl w:val="0"/>
          <w:numId w:val="1"/>
        </w:numPr>
        <w:tabs>
          <w:tab w:val="left" w:pos="982"/>
        </w:tabs>
        <w:spacing w:before="0"/>
        <w:ind w:hanging="361"/>
        <w:jc w:val="both"/>
        <w:rPr>
          <w:rFonts w:ascii="Garamond" w:hAnsi="Garamond"/>
          <w:i/>
          <w:iCs/>
          <w:color w:val="000000" w:themeColor="text1"/>
        </w:rPr>
      </w:pPr>
      <w:r w:rsidRPr="000113B8">
        <w:rPr>
          <w:rFonts w:ascii="Garamond" w:hAnsi="Garamond"/>
          <w:color w:val="000000" w:themeColor="text1"/>
        </w:rPr>
        <w:t>Ley 1328 de 2009, “Protección al consumidor financiero y derechos de los asegurados</w:t>
      </w:r>
      <w:r w:rsidRPr="000113B8">
        <w:rPr>
          <w:rFonts w:ascii="Garamond" w:hAnsi="Garamond"/>
          <w:i/>
          <w:iCs/>
          <w:color w:val="000000" w:themeColor="text1"/>
        </w:rPr>
        <w:t>”. Expedida por el Congreso de la República de Colombia y fue aprobada por el Senado y la Cámara de Representantes. Esta ley establece el régimen de protección al consumidor financiero, incluyendo a los usuarios de seguros (como los beneficiarios de pólizas de vida).</w:t>
      </w:r>
    </w:p>
    <w:p w14:paraId="3BD1AE22" w14:textId="77777777" w:rsidR="00C3619D" w:rsidRPr="000113B8" w:rsidRDefault="00C3619D" w:rsidP="00C3619D">
      <w:pPr>
        <w:pStyle w:val="Prrafodelista"/>
        <w:numPr>
          <w:ilvl w:val="0"/>
          <w:numId w:val="1"/>
        </w:numPr>
        <w:tabs>
          <w:tab w:val="left" w:pos="982"/>
        </w:tabs>
        <w:spacing w:before="0"/>
        <w:ind w:hanging="361"/>
        <w:jc w:val="both"/>
        <w:rPr>
          <w:rFonts w:ascii="Garamond" w:hAnsi="Garamond"/>
          <w:i/>
          <w:iCs/>
          <w:color w:val="000000" w:themeColor="text1"/>
        </w:rPr>
      </w:pPr>
      <w:r w:rsidRPr="000113B8">
        <w:rPr>
          <w:rFonts w:ascii="Garamond" w:hAnsi="Garamond"/>
          <w:color w:val="000000" w:themeColor="text1"/>
        </w:rPr>
        <w:t xml:space="preserve">Decreto 2555 de 2010, </w:t>
      </w:r>
      <w:r w:rsidRPr="000113B8">
        <w:rPr>
          <w:rFonts w:ascii="Garamond" w:hAnsi="Garamond"/>
          <w:i/>
          <w:iCs/>
          <w:color w:val="000000" w:themeColor="text1"/>
        </w:rPr>
        <w:t>“Regula el régimen completo del sistema financiero y asegurador y también realiza la clasificación de seguros (incluye seguros de vida individual y colectivo)”. Expedida por el Presidente de la República y el Ministerio de Hacienda, es el decreto más importante del sector (compila toda la normativa).</w:t>
      </w:r>
    </w:p>
    <w:p w14:paraId="756EB7F8" w14:textId="77777777" w:rsidR="00E8672C" w:rsidRPr="000113B8" w:rsidRDefault="00E8672C" w:rsidP="00E8672C">
      <w:pPr>
        <w:pStyle w:val="Prrafodelista"/>
        <w:numPr>
          <w:ilvl w:val="0"/>
          <w:numId w:val="1"/>
        </w:numPr>
        <w:jc w:val="both"/>
        <w:rPr>
          <w:rFonts w:ascii="Garamond" w:hAnsi="Garamond"/>
          <w:color w:val="000000" w:themeColor="text1"/>
        </w:rPr>
      </w:pPr>
      <w:r w:rsidRPr="000113B8">
        <w:rPr>
          <w:rFonts w:ascii="Garamond" w:hAnsi="Garamond"/>
          <w:color w:val="000000" w:themeColor="text1"/>
        </w:rPr>
        <w:t>Ley 1564 de 2012, por medio de la cual se expide el Código General del Proceso y se dictan otras disposiciones.</w:t>
      </w:r>
    </w:p>
    <w:p w14:paraId="661DC2CE" w14:textId="77777777" w:rsidR="00E8672C" w:rsidRPr="000113B8" w:rsidRDefault="00E8672C" w:rsidP="00E8672C">
      <w:pPr>
        <w:pStyle w:val="Prrafodelista"/>
        <w:numPr>
          <w:ilvl w:val="0"/>
          <w:numId w:val="1"/>
        </w:numPr>
        <w:jc w:val="both"/>
        <w:rPr>
          <w:rFonts w:ascii="Garamond" w:hAnsi="Garamond"/>
          <w:color w:val="000000" w:themeColor="text1"/>
        </w:rPr>
      </w:pPr>
      <w:r w:rsidRPr="000113B8">
        <w:rPr>
          <w:rFonts w:ascii="Garamond" w:hAnsi="Garamond"/>
          <w:color w:val="000000" w:themeColor="text1"/>
        </w:rPr>
        <w:t>Decreto Ley 094 de 2012 Por el cual se dictan normas para suprimir o reformar regulaciones, procedimientos y trámites innecesarios existentes en la Administración Pública.</w:t>
      </w:r>
    </w:p>
    <w:p w14:paraId="76123287" w14:textId="77777777" w:rsidR="00C3619D" w:rsidRPr="000113B8" w:rsidRDefault="00C3619D" w:rsidP="00C3619D">
      <w:pPr>
        <w:pStyle w:val="Prrafodelista"/>
        <w:numPr>
          <w:ilvl w:val="0"/>
          <w:numId w:val="1"/>
        </w:numPr>
        <w:tabs>
          <w:tab w:val="left" w:pos="982"/>
        </w:tabs>
        <w:spacing w:before="0"/>
        <w:ind w:hanging="361"/>
        <w:jc w:val="both"/>
        <w:rPr>
          <w:rFonts w:ascii="Garamond" w:hAnsi="Garamond"/>
          <w:color w:val="000000" w:themeColor="text1"/>
          <w:lang w:val="es-CO"/>
        </w:rPr>
      </w:pPr>
      <w:r w:rsidRPr="000113B8">
        <w:rPr>
          <w:rFonts w:ascii="Garamond" w:hAnsi="Garamond"/>
          <w:color w:val="000000" w:themeColor="text1"/>
        </w:rPr>
        <w:t xml:space="preserve">Decreto 1082 de 2015, </w:t>
      </w:r>
      <w:r w:rsidRPr="000113B8">
        <w:rPr>
          <w:rFonts w:ascii="Garamond" w:hAnsi="Garamond"/>
          <w:i/>
          <w:iCs/>
          <w:color w:val="000000" w:themeColor="text1"/>
        </w:rPr>
        <w:t xml:space="preserve">“Regula el Sistema de compras públicas y los Procedimientos de contratación estatal”. Expedida por el Presidente de la República y es la que </w:t>
      </w:r>
      <w:r w:rsidRPr="000113B8">
        <w:rPr>
          <w:rFonts w:ascii="Garamond" w:hAnsi="Garamond"/>
          <w:i/>
          <w:iCs/>
          <w:color w:val="000000" w:themeColor="text1"/>
          <w:lang w:val="es-CO"/>
        </w:rPr>
        <w:t>aplica directamente a la contratación de pólizas con entidades públicas</w:t>
      </w:r>
      <w:r w:rsidRPr="000113B8">
        <w:rPr>
          <w:rFonts w:ascii="Garamond" w:hAnsi="Garamond"/>
          <w:color w:val="000000" w:themeColor="text1"/>
          <w:lang w:val="es-CO"/>
        </w:rPr>
        <w:t xml:space="preserve">. </w:t>
      </w:r>
    </w:p>
    <w:p w14:paraId="33295FA0" w14:textId="77777777" w:rsidR="00C3619D" w:rsidRPr="000113B8" w:rsidRDefault="00C3619D" w:rsidP="00C3619D">
      <w:pPr>
        <w:pStyle w:val="Prrafodelista"/>
        <w:numPr>
          <w:ilvl w:val="0"/>
          <w:numId w:val="1"/>
        </w:numPr>
        <w:tabs>
          <w:tab w:val="left" w:pos="982"/>
        </w:tabs>
        <w:spacing w:before="0"/>
        <w:ind w:hanging="361"/>
        <w:jc w:val="both"/>
        <w:rPr>
          <w:rFonts w:ascii="Garamond" w:hAnsi="Garamond"/>
          <w:i/>
          <w:iCs/>
          <w:color w:val="000000" w:themeColor="text1"/>
        </w:rPr>
      </w:pPr>
      <w:r w:rsidRPr="000113B8">
        <w:rPr>
          <w:rFonts w:ascii="Garamond" w:hAnsi="Garamond"/>
          <w:color w:val="000000" w:themeColor="text1"/>
        </w:rPr>
        <w:t xml:space="preserve">Documentos y lineamientos del Ministerio de Hacienda, </w:t>
      </w:r>
      <w:r w:rsidRPr="000113B8">
        <w:rPr>
          <w:rFonts w:ascii="Garamond" w:hAnsi="Garamond"/>
          <w:i/>
          <w:iCs/>
          <w:color w:val="000000" w:themeColor="text1"/>
        </w:rPr>
        <w:t xml:space="preserve">“Regula Lineamientos del sector asegurador y Política financiera”, Expedida por el Ministerio de Hacienda y Crédito Público y es la que Orienta la regulación del mercado. </w:t>
      </w:r>
    </w:p>
    <w:p w14:paraId="3D102684" w14:textId="72860519" w:rsidR="00E8672C" w:rsidRPr="000113B8" w:rsidRDefault="00E8672C" w:rsidP="00EC7684">
      <w:pPr>
        <w:pStyle w:val="Prrafodelista"/>
        <w:numPr>
          <w:ilvl w:val="0"/>
          <w:numId w:val="1"/>
        </w:numPr>
        <w:jc w:val="both"/>
        <w:rPr>
          <w:rFonts w:ascii="Garamond" w:hAnsi="Garamond" w:cs="Garamond"/>
          <w:bCs/>
          <w:i/>
          <w:iCs/>
          <w:color w:val="000000" w:themeColor="text1"/>
        </w:rPr>
      </w:pPr>
      <w:r w:rsidRPr="000113B8">
        <w:rPr>
          <w:rFonts w:ascii="Garamond" w:hAnsi="Garamond" w:cs="Garamond"/>
          <w:bCs/>
          <w:color w:val="000000" w:themeColor="text1"/>
        </w:rPr>
        <w:t xml:space="preserve">La Ley 1952 de 2019, por medio de la cual se expide el código general disciplinario se derogan la ley 734 de 2002 y algunas disposiciones de la ley 1474 de 2011, relacionadas con el derecho disciplinario, preceptúa lo siguiente: </w:t>
      </w:r>
      <w:r w:rsidRPr="000113B8">
        <w:rPr>
          <w:rFonts w:ascii="Garamond" w:hAnsi="Garamond" w:cs="Garamond"/>
          <w:bCs/>
          <w:i/>
          <w:iCs/>
          <w:color w:val="000000" w:themeColor="text1"/>
        </w:rPr>
        <w:t>Artículo 38 DEBERES, Numeral 22 “Vigilar y salvaguardar los bienes y valores que le han sido encomendados y cuidar que sean utilizados debida y racionalmente, de conformidad con los fines a que han sido destinados”; Artículo 57 FALTAS GRAVÍSIMAS - FALTAS RELACIONADAS CON LA HACIENDA PUBLICA, Numeral 13 “No asegurar por su valor real los bienes del Estado ni hacer las apropiaciones presupuestales pertinentes”; Artículo 62 FALTAS GRAVÍSIMAS - FALTAS RELACIONADAS CON LA MORALIDAD PUBLICA, Numeral 1: “Dar lugar a que por culpa gravísima se extravíen, pierdan o dañen bienes del Estado o a cargo del mismo, o de empresas o instituciones en que este tenga parte o bienes de particulares cuya administración o custodia se le haya confiado por razón de sus funciones, en cuantía igual o superior a quinientos (500) salarios mínimos legales mensuales”</w:t>
      </w:r>
    </w:p>
    <w:p w14:paraId="4300C37B" w14:textId="11F86127" w:rsidR="00A502A1" w:rsidRPr="000113B8" w:rsidRDefault="00A502A1" w:rsidP="00C54B99">
      <w:pPr>
        <w:pStyle w:val="Prrafodelista"/>
        <w:numPr>
          <w:ilvl w:val="0"/>
          <w:numId w:val="2"/>
        </w:numPr>
        <w:ind w:left="993" w:hanging="426"/>
        <w:jc w:val="both"/>
        <w:rPr>
          <w:rFonts w:ascii="Garamond" w:hAnsi="Garamond" w:cs="Garamond"/>
          <w:bCs/>
          <w:i/>
          <w:iCs/>
          <w:color w:val="000000" w:themeColor="text1"/>
        </w:rPr>
      </w:pPr>
      <w:r w:rsidRPr="000113B8">
        <w:rPr>
          <w:rFonts w:ascii="Garamond" w:hAnsi="Garamond" w:cs="Garamond"/>
          <w:bCs/>
          <w:color w:val="000000" w:themeColor="text1"/>
        </w:rPr>
        <w:t xml:space="preserve">Finalmente, y respecto de la comisión para el intermediario de seguros, el título XIV del Código de Comercio, que regula el corretaje en general, y en particular el de seguros y señala en los artículos 1341 y 1343 las reglas relativas a la remuneración de los corredores, entre otras, la referida al derecho a la remuneración para el corredor de seguros, así: </w:t>
      </w:r>
      <w:r w:rsidRPr="000113B8">
        <w:rPr>
          <w:rFonts w:ascii="Garamond" w:hAnsi="Garamond" w:cs="Garamond"/>
          <w:bCs/>
          <w:i/>
          <w:iCs/>
          <w:color w:val="000000" w:themeColor="text1"/>
        </w:rPr>
        <w:t>Artículo 1341. REMUNERACIÓN DE LOS CORREDORES. El corredor tendrá derecho a la remuneración estipulada; a falta de estipulación, a la usual y, en su defecto, a la que se fije por peritos.</w:t>
      </w:r>
    </w:p>
    <w:p w14:paraId="57D48971" w14:textId="77777777" w:rsidR="00A502A1" w:rsidRPr="000113B8" w:rsidRDefault="00A502A1" w:rsidP="00A502A1">
      <w:pPr>
        <w:ind w:left="708"/>
        <w:jc w:val="both"/>
        <w:rPr>
          <w:rFonts w:ascii="Garamond" w:hAnsi="Garamond" w:cs="Garamond"/>
          <w:bCs/>
          <w:color w:val="000000" w:themeColor="text1"/>
        </w:rPr>
      </w:pPr>
    </w:p>
    <w:p w14:paraId="4AC6F20B" w14:textId="628B3346" w:rsidR="00360D68" w:rsidRPr="000113B8" w:rsidRDefault="00AE4323" w:rsidP="00C54B99">
      <w:pPr>
        <w:pStyle w:val="Prrafodelista"/>
        <w:numPr>
          <w:ilvl w:val="1"/>
          <w:numId w:val="22"/>
        </w:numPr>
        <w:rPr>
          <w:rFonts w:ascii="Garamond" w:hAnsi="Garamond"/>
          <w:b/>
          <w:bCs/>
          <w:color w:val="000000" w:themeColor="text1"/>
          <w:lang w:eastAsia="es-CO"/>
        </w:rPr>
      </w:pPr>
      <w:bookmarkStart w:id="16" w:name="_Hlk211326622"/>
      <w:r w:rsidRPr="000113B8">
        <w:rPr>
          <w:rFonts w:ascii="Garamond" w:hAnsi="Garamond"/>
          <w:b/>
          <w:bCs/>
          <w:color w:val="000000" w:themeColor="text1"/>
          <w:lang w:eastAsia="es-CO"/>
        </w:rPr>
        <w:t>Otr</w:t>
      </w:r>
      <w:r w:rsidR="00753560" w:rsidRPr="000113B8">
        <w:rPr>
          <w:rFonts w:ascii="Garamond" w:hAnsi="Garamond"/>
          <w:b/>
          <w:bCs/>
          <w:color w:val="000000" w:themeColor="text1"/>
          <w:lang w:eastAsia="es-CO"/>
        </w:rPr>
        <w:t xml:space="preserve">as Normas Aplicables </w:t>
      </w:r>
      <w:r w:rsidRPr="000113B8">
        <w:rPr>
          <w:rFonts w:ascii="Garamond" w:hAnsi="Garamond"/>
          <w:b/>
          <w:bCs/>
          <w:color w:val="000000" w:themeColor="text1"/>
          <w:lang w:eastAsia="es-CO"/>
        </w:rPr>
        <w:t>(Ambiental, Social, Político, Entre Otros</w:t>
      </w:r>
      <w:r w:rsidR="00360D68" w:rsidRPr="000113B8">
        <w:rPr>
          <w:rFonts w:ascii="Garamond" w:hAnsi="Garamond"/>
          <w:b/>
          <w:bCs/>
          <w:color w:val="000000" w:themeColor="text1"/>
          <w:lang w:eastAsia="es-CO"/>
        </w:rPr>
        <w:t>)</w:t>
      </w:r>
      <w:r w:rsidR="00360D68" w:rsidRPr="000113B8">
        <w:rPr>
          <w:rStyle w:val="Refdenotaalpie"/>
          <w:rFonts w:ascii="Garamond" w:hAnsi="Garamond"/>
          <w:b/>
          <w:bCs/>
          <w:color w:val="000000" w:themeColor="text1"/>
          <w:lang w:eastAsia="es-CO"/>
        </w:rPr>
        <w:footnoteReference w:id="8"/>
      </w:r>
    </w:p>
    <w:p w14:paraId="4D405E12" w14:textId="77777777" w:rsidR="00360D68" w:rsidRPr="000113B8" w:rsidRDefault="00360D68" w:rsidP="00360D68">
      <w:pPr>
        <w:widowControl/>
        <w:autoSpaceDE/>
        <w:autoSpaceDN/>
        <w:adjustRightInd w:val="0"/>
        <w:spacing w:line="256" w:lineRule="auto"/>
        <w:contextualSpacing/>
        <w:rPr>
          <w:rFonts w:ascii="Garamond" w:hAnsi="Garamond"/>
          <w:b/>
          <w:bCs/>
          <w:color w:val="000000" w:themeColor="text1"/>
          <w:lang w:eastAsia="es-CO"/>
        </w:rPr>
      </w:pPr>
    </w:p>
    <w:p w14:paraId="3965BCB8" w14:textId="77777777" w:rsidR="00360D68" w:rsidRPr="000113B8" w:rsidRDefault="00360D68" w:rsidP="00360D68">
      <w:pPr>
        <w:pStyle w:val="Prrafodelista"/>
        <w:numPr>
          <w:ilvl w:val="0"/>
          <w:numId w:val="1"/>
        </w:numPr>
        <w:tabs>
          <w:tab w:val="left" w:pos="982"/>
        </w:tabs>
        <w:spacing w:before="0"/>
        <w:ind w:hanging="361"/>
        <w:jc w:val="both"/>
        <w:rPr>
          <w:rFonts w:ascii="Garamond" w:hAnsi="Garamond"/>
          <w:i/>
          <w:iCs/>
          <w:color w:val="000000" w:themeColor="text1"/>
        </w:rPr>
      </w:pPr>
      <w:r w:rsidRPr="000113B8">
        <w:rPr>
          <w:rFonts w:ascii="Garamond" w:hAnsi="Garamond"/>
          <w:color w:val="000000" w:themeColor="text1"/>
        </w:rPr>
        <w:t xml:space="preserve">Ley 1931 de 2018, </w:t>
      </w:r>
      <w:r w:rsidRPr="000113B8">
        <w:rPr>
          <w:rFonts w:ascii="Garamond" w:hAnsi="Garamond"/>
          <w:i/>
          <w:iCs/>
          <w:color w:val="000000" w:themeColor="text1"/>
        </w:rPr>
        <w:t>“Gestión del cambio climático”, Expedida por el Congreso de la República de Colombia y es la que obliga a considerar riesgos climáticos en seguros.</w:t>
      </w:r>
    </w:p>
    <w:p w14:paraId="0F05B311" w14:textId="77777777" w:rsidR="00360D68" w:rsidRPr="000113B8" w:rsidRDefault="00360D68" w:rsidP="00360D68">
      <w:pPr>
        <w:pStyle w:val="Prrafodelista"/>
        <w:numPr>
          <w:ilvl w:val="0"/>
          <w:numId w:val="1"/>
        </w:numPr>
        <w:tabs>
          <w:tab w:val="left" w:pos="982"/>
        </w:tabs>
        <w:spacing w:before="0"/>
        <w:ind w:hanging="361"/>
        <w:jc w:val="both"/>
        <w:rPr>
          <w:rFonts w:ascii="Garamond" w:hAnsi="Garamond"/>
          <w:i/>
          <w:iCs/>
          <w:color w:val="000000" w:themeColor="text1"/>
        </w:rPr>
      </w:pPr>
      <w:r w:rsidRPr="000113B8">
        <w:rPr>
          <w:rFonts w:ascii="Garamond" w:hAnsi="Garamond"/>
          <w:color w:val="000000" w:themeColor="text1"/>
        </w:rPr>
        <w:t>Ley 99 de 1993,</w:t>
      </w:r>
      <w:r w:rsidRPr="000113B8">
        <w:rPr>
          <w:rFonts w:ascii="Garamond" w:hAnsi="Garamond"/>
          <w:i/>
          <w:iCs/>
          <w:color w:val="000000" w:themeColor="text1"/>
        </w:rPr>
        <w:t xml:space="preserve"> “Creación del Sistema Nacional Ambiental (SINA) y Política ambiental del país”. Expedida por el Congreso de la República de Colombia y es la que introduce el enfoque de gestión del riesgo ambiental que influye en el análisis actuarial.</w:t>
      </w:r>
    </w:p>
    <w:p w14:paraId="68B34CF1" w14:textId="77777777" w:rsidR="00360D68" w:rsidRPr="000113B8" w:rsidRDefault="00360D68" w:rsidP="00360D68">
      <w:pPr>
        <w:pStyle w:val="Prrafodelista"/>
        <w:numPr>
          <w:ilvl w:val="0"/>
          <w:numId w:val="1"/>
        </w:numPr>
        <w:tabs>
          <w:tab w:val="left" w:pos="982"/>
        </w:tabs>
        <w:spacing w:before="0"/>
        <w:ind w:hanging="361"/>
        <w:jc w:val="both"/>
        <w:rPr>
          <w:rFonts w:ascii="Garamond" w:hAnsi="Garamond"/>
          <w:i/>
          <w:iCs/>
          <w:color w:val="000000" w:themeColor="text1"/>
        </w:rPr>
      </w:pPr>
      <w:r w:rsidRPr="000113B8">
        <w:rPr>
          <w:rFonts w:ascii="Garamond" w:hAnsi="Garamond"/>
          <w:color w:val="000000" w:themeColor="text1"/>
        </w:rPr>
        <w:t>Decreto 1076 de 2015</w:t>
      </w:r>
      <w:r w:rsidRPr="000113B8">
        <w:rPr>
          <w:rFonts w:ascii="Garamond" w:hAnsi="Garamond"/>
          <w:i/>
          <w:iCs/>
          <w:color w:val="000000" w:themeColor="text1"/>
        </w:rPr>
        <w:t>,” (Decreto Único Ambiental),”</w:t>
      </w:r>
      <w:r w:rsidRPr="000113B8">
        <w:rPr>
          <w:rFonts w:ascii="Garamond" w:hAnsi="Garamond"/>
          <w:color w:val="000000" w:themeColor="text1"/>
        </w:rPr>
        <w:t xml:space="preserve"> </w:t>
      </w:r>
      <w:r w:rsidRPr="000113B8">
        <w:rPr>
          <w:rFonts w:ascii="Garamond" w:hAnsi="Garamond"/>
          <w:i/>
          <w:iCs/>
          <w:color w:val="000000" w:themeColor="text1"/>
        </w:rPr>
        <w:t>Es la que regula la</w:t>
      </w:r>
      <w:r w:rsidRPr="000113B8">
        <w:rPr>
          <w:rFonts w:ascii="Garamond" w:hAnsi="Garamond"/>
          <w:color w:val="000000" w:themeColor="text1"/>
        </w:rPr>
        <w:t xml:space="preserve"> </w:t>
      </w:r>
      <w:r w:rsidRPr="000113B8">
        <w:rPr>
          <w:rFonts w:ascii="Garamond" w:hAnsi="Garamond"/>
          <w:i/>
          <w:iCs/>
          <w:color w:val="000000" w:themeColor="text1"/>
        </w:rPr>
        <w:t>Normativa ambiental unificada”, Expedida por el Presidente de la República y es la base para análisis de riesgos territoriales.</w:t>
      </w:r>
    </w:p>
    <w:p w14:paraId="419BBB7A" w14:textId="77777777" w:rsidR="00360D68" w:rsidRPr="000113B8" w:rsidRDefault="00360D68" w:rsidP="00360D68">
      <w:pPr>
        <w:widowControl/>
        <w:autoSpaceDE/>
        <w:autoSpaceDN/>
        <w:adjustRightInd w:val="0"/>
        <w:spacing w:line="256" w:lineRule="auto"/>
        <w:contextualSpacing/>
        <w:rPr>
          <w:rFonts w:ascii="Garamond" w:hAnsi="Garamond"/>
          <w:b/>
          <w:bCs/>
          <w:i/>
          <w:iCs/>
          <w:color w:val="000000" w:themeColor="text1"/>
          <w:lang w:eastAsia="es-CO"/>
        </w:rPr>
      </w:pPr>
    </w:p>
    <w:p w14:paraId="0E740FD0" w14:textId="77777777" w:rsidR="00360D68" w:rsidRPr="000113B8" w:rsidRDefault="00360D68" w:rsidP="006C7127">
      <w:pPr>
        <w:widowControl/>
        <w:autoSpaceDE/>
        <w:autoSpaceDN/>
        <w:adjustRightInd w:val="0"/>
        <w:spacing w:line="256" w:lineRule="auto"/>
        <w:contextualSpacing/>
        <w:jc w:val="both"/>
        <w:rPr>
          <w:rFonts w:ascii="Garamond" w:hAnsi="Garamond"/>
          <w:b/>
          <w:bCs/>
          <w:i/>
          <w:iCs/>
          <w:color w:val="000000" w:themeColor="text1"/>
          <w:lang w:eastAsia="es-CO"/>
        </w:rPr>
      </w:pPr>
      <w:r w:rsidRPr="000113B8">
        <w:rPr>
          <w:rFonts w:ascii="Garamond" w:hAnsi="Garamond"/>
          <w:b/>
          <w:bCs/>
          <w:i/>
          <w:iCs/>
          <w:color w:val="000000" w:themeColor="text1"/>
          <w:lang w:eastAsia="es-CO"/>
        </w:rPr>
        <w:t xml:space="preserve">NOTA: </w:t>
      </w:r>
      <w:r w:rsidRPr="000113B8">
        <w:rPr>
          <w:rFonts w:ascii="Garamond" w:hAnsi="Garamond"/>
          <w:i/>
          <w:iCs/>
          <w:color w:val="000000" w:themeColor="text1"/>
          <w:lang w:eastAsia="es-CO"/>
        </w:rPr>
        <w:t>Aunque los seguros de vida no generan impactos ambientales directos, sí están sujetos a lineamientos de sostenibilidad y gestión del riesgo climático.</w:t>
      </w:r>
    </w:p>
    <w:p w14:paraId="158F65E6" w14:textId="77777777" w:rsidR="00360D68" w:rsidRPr="000113B8" w:rsidRDefault="00360D68" w:rsidP="00360D68">
      <w:pPr>
        <w:widowControl/>
        <w:autoSpaceDE/>
        <w:autoSpaceDN/>
        <w:adjustRightInd w:val="0"/>
        <w:spacing w:line="256" w:lineRule="auto"/>
        <w:contextualSpacing/>
        <w:rPr>
          <w:rFonts w:ascii="Garamond" w:hAnsi="Garamond"/>
          <w:b/>
          <w:bCs/>
          <w:i/>
          <w:iCs/>
          <w:color w:val="000000" w:themeColor="text1"/>
          <w:lang w:eastAsia="es-CO"/>
        </w:rPr>
      </w:pPr>
    </w:p>
    <w:p w14:paraId="3944D909" w14:textId="77777777" w:rsidR="00360D68" w:rsidRPr="000113B8" w:rsidRDefault="00360D68" w:rsidP="00360D68">
      <w:pPr>
        <w:pStyle w:val="Prrafodelista"/>
        <w:numPr>
          <w:ilvl w:val="0"/>
          <w:numId w:val="1"/>
        </w:numPr>
        <w:tabs>
          <w:tab w:val="left" w:pos="982"/>
        </w:tabs>
        <w:spacing w:before="0"/>
        <w:ind w:hanging="361"/>
        <w:jc w:val="both"/>
        <w:rPr>
          <w:rFonts w:ascii="Garamond" w:hAnsi="Garamond"/>
          <w:i/>
          <w:iCs/>
          <w:color w:val="000000" w:themeColor="text1"/>
        </w:rPr>
      </w:pPr>
      <w:r w:rsidRPr="000113B8">
        <w:rPr>
          <w:rFonts w:ascii="Garamond" w:hAnsi="Garamond"/>
          <w:color w:val="000000" w:themeColor="text1"/>
        </w:rPr>
        <w:t xml:space="preserve">Ley 100 de 1993, </w:t>
      </w:r>
      <w:r w:rsidRPr="000113B8">
        <w:rPr>
          <w:rFonts w:ascii="Garamond" w:hAnsi="Garamond"/>
          <w:i/>
          <w:iCs/>
          <w:color w:val="000000" w:themeColor="text1"/>
        </w:rPr>
        <w:t>“Regula el Sistema de Seguridad Social Integral”. Expedida por el Congreso de la República de Colombia y es la que Complementa los seguros de vida como mecanismo de protección.</w:t>
      </w:r>
    </w:p>
    <w:p w14:paraId="2146F5C1" w14:textId="77777777" w:rsidR="00360D68" w:rsidRPr="000113B8" w:rsidRDefault="00360D68" w:rsidP="00360D68">
      <w:pPr>
        <w:pStyle w:val="Prrafodelista"/>
        <w:numPr>
          <w:ilvl w:val="0"/>
          <w:numId w:val="1"/>
        </w:numPr>
        <w:tabs>
          <w:tab w:val="left" w:pos="982"/>
        </w:tabs>
        <w:spacing w:before="0"/>
        <w:ind w:hanging="361"/>
        <w:jc w:val="both"/>
        <w:rPr>
          <w:rFonts w:ascii="Garamond" w:hAnsi="Garamond"/>
          <w:i/>
          <w:iCs/>
          <w:color w:val="000000" w:themeColor="text1"/>
        </w:rPr>
      </w:pPr>
      <w:r w:rsidRPr="000113B8">
        <w:rPr>
          <w:rFonts w:ascii="Garamond" w:hAnsi="Garamond"/>
          <w:color w:val="000000" w:themeColor="text1"/>
        </w:rPr>
        <w:t>Ley 1328 de 2009</w:t>
      </w:r>
      <w:r w:rsidRPr="000113B8">
        <w:rPr>
          <w:rFonts w:ascii="Garamond" w:hAnsi="Garamond"/>
          <w:i/>
          <w:iCs/>
          <w:color w:val="000000" w:themeColor="text1"/>
        </w:rPr>
        <w:t>, “Regula el derecho fundamental a la salud”. Expedida por el Congreso de la República de Colombia y es la que impacta seguros relacionados con vida y salud.</w:t>
      </w:r>
    </w:p>
    <w:p w14:paraId="3A4EAB87" w14:textId="77777777" w:rsidR="00360D68" w:rsidRPr="000113B8" w:rsidRDefault="00360D68" w:rsidP="00360D68">
      <w:pPr>
        <w:tabs>
          <w:tab w:val="left" w:pos="982"/>
        </w:tabs>
        <w:jc w:val="both"/>
        <w:rPr>
          <w:rFonts w:ascii="Garamond" w:hAnsi="Garamond"/>
          <w:i/>
          <w:iCs/>
          <w:color w:val="000000" w:themeColor="text1"/>
        </w:rPr>
      </w:pPr>
    </w:p>
    <w:p w14:paraId="77173FA5" w14:textId="77777777" w:rsidR="00360D68" w:rsidRPr="000113B8" w:rsidRDefault="00360D68" w:rsidP="006C7127">
      <w:pPr>
        <w:widowControl/>
        <w:autoSpaceDE/>
        <w:autoSpaceDN/>
        <w:adjustRightInd w:val="0"/>
        <w:spacing w:line="256" w:lineRule="auto"/>
        <w:contextualSpacing/>
        <w:jc w:val="both"/>
        <w:rPr>
          <w:rFonts w:ascii="Garamond" w:hAnsi="Garamond"/>
          <w:b/>
          <w:bCs/>
          <w:i/>
          <w:iCs/>
          <w:color w:val="000000" w:themeColor="text1"/>
          <w:lang w:eastAsia="es-CO"/>
        </w:rPr>
      </w:pPr>
      <w:r w:rsidRPr="000113B8">
        <w:rPr>
          <w:rFonts w:ascii="Garamond" w:hAnsi="Garamond"/>
          <w:b/>
          <w:bCs/>
          <w:i/>
          <w:iCs/>
          <w:color w:val="000000" w:themeColor="text1"/>
          <w:lang w:eastAsia="es-CO"/>
        </w:rPr>
        <w:t xml:space="preserve">NOTA: </w:t>
      </w:r>
      <w:r w:rsidRPr="000113B8">
        <w:rPr>
          <w:rFonts w:ascii="Garamond" w:hAnsi="Garamond"/>
          <w:i/>
          <w:iCs/>
          <w:color w:val="000000" w:themeColor="text1"/>
          <w:lang w:eastAsia="es-CO"/>
        </w:rPr>
        <w:t>La normativa social es fundamental para seguros de vida, ya que protege derechos, bienestar y seguridad social.</w:t>
      </w:r>
    </w:p>
    <w:p w14:paraId="51F18278" w14:textId="77777777" w:rsidR="00360D68" w:rsidRPr="000113B8" w:rsidRDefault="00360D68" w:rsidP="00360D68">
      <w:pPr>
        <w:widowControl/>
        <w:autoSpaceDE/>
        <w:autoSpaceDN/>
        <w:adjustRightInd w:val="0"/>
        <w:spacing w:line="256" w:lineRule="auto"/>
        <w:contextualSpacing/>
        <w:jc w:val="both"/>
        <w:rPr>
          <w:rFonts w:ascii="Garamond" w:hAnsi="Garamond"/>
          <w:color w:val="000000" w:themeColor="text1"/>
          <w:lang w:eastAsia="es-CO"/>
        </w:rPr>
      </w:pPr>
    </w:p>
    <w:p w14:paraId="3927143B" w14:textId="4400041B" w:rsidR="00360D68" w:rsidRPr="000113B8" w:rsidRDefault="006C7127" w:rsidP="00360D68">
      <w:pPr>
        <w:widowControl/>
        <w:autoSpaceDE/>
        <w:autoSpaceDN/>
        <w:adjustRightInd w:val="0"/>
        <w:spacing w:line="256" w:lineRule="auto"/>
        <w:contextualSpacing/>
        <w:jc w:val="both"/>
        <w:rPr>
          <w:rFonts w:ascii="Garamond" w:hAnsi="Garamond"/>
          <w:color w:val="000000" w:themeColor="text1"/>
          <w:lang w:eastAsia="es-CO"/>
        </w:rPr>
      </w:pPr>
      <w:r w:rsidRPr="000113B8">
        <w:rPr>
          <w:rFonts w:ascii="Garamond" w:hAnsi="Garamond"/>
          <w:color w:val="000000" w:themeColor="text1"/>
          <w:lang w:eastAsia="es-CO"/>
        </w:rPr>
        <w:t>Así las cosas, se precisa que e</w:t>
      </w:r>
      <w:r w:rsidR="00360D68" w:rsidRPr="000113B8">
        <w:rPr>
          <w:rFonts w:ascii="Garamond" w:hAnsi="Garamond"/>
          <w:color w:val="000000" w:themeColor="text1"/>
          <w:lang w:eastAsia="es-CO"/>
        </w:rPr>
        <w:t>l sector asegurador en Colombia no solo se rige por normas propias del sistema financiero, sino también por un conjunto integral de normas ambientales, sociales y políticas expedidas principalmente por el Congreso de la República y el Presidente de la República, las cuales inciden en la estructuración de</w:t>
      </w:r>
      <w:r w:rsidR="001652C7" w:rsidRPr="000113B8">
        <w:rPr>
          <w:rFonts w:ascii="Garamond" w:hAnsi="Garamond"/>
          <w:color w:val="000000" w:themeColor="text1"/>
          <w:lang w:eastAsia="es-CO"/>
        </w:rPr>
        <w:t xml:space="preserve"> las</w:t>
      </w:r>
      <w:r w:rsidR="00360D68" w:rsidRPr="000113B8">
        <w:rPr>
          <w:rFonts w:ascii="Garamond" w:hAnsi="Garamond"/>
          <w:color w:val="000000" w:themeColor="text1"/>
          <w:lang w:eastAsia="es-CO"/>
        </w:rPr>
        <w:t xml:space="preserve"> pólizas al incorporar variables de sostenibilidad, protección social, transparencia y organización territorial; este marco normativo garantiza que procesos como la contratación de seguros para ediles se desarrollen bajo criterios de legalidad, responsabilidad social, gestión del riesgo y eficiencia en el uso de recursos públicos.</w:t>
      </w:r>
    </w:p>
    <w:p w14:paraId="2B3FDEB9" w14:textId="77777777" w:rsidR="00360D68" w:rsidRPr="000113B8" w:rsidRDefault="00360D68" w:rsidP="00360D68">
      <w:pPr>
        <w:widowControl/>
        <w:autoSpaceDE/>
        <w:autoSpaceDN/>
        <w:adjustRightInd w:val="0"/>
        <w:spacing w:line="256" w:lineRule="auto"/>
        <w:contextualSpacing/>
        <w:jc w:val="both"/>
        <w:rPr>
          <w:rFonts w:ascii="Garamond" w:hAnsi="Garamond"/>
          <w:b/>
          <w:bCs/>
          <w:i/>
          <w:iCs/>
          <w:color w:val="000000" w:themeColor="text1"/>
          <w:lang w:eastAsia="es-CO"/>
        </w:rPr>
      </w:pPr>
    </w:p>
    <w:p w14:paraId="360368F0" w14:textId="77777777" w:rsidR="00360D68" w:rsidRPr="000113B8" w:rsidRDefault="00360D68" w:rsidP="00F1003A">
      <w:pPr>
        <w:jc w:val="both"/>
        <w:rPr>
          <w:rFonts w:ascii="Garamond" w:hAnsi="Garamond"/>
          <w:color w:val="000000" w:themeColor="text1"/>
          <w:lang w:eastAsia="es-CO"/>
        </w:rPr>
      </w:pPr>
      <w:r w:rsidRPr="000113B8">
        <w:rPr>
          <w:rFonts w:ascii="Garamond" w:hAnsi="Garamond"/>
          <w:color w:val="000000" w:themeColor="text1"/>
          <w:lang w:eastAsia="es-CO"/>
        </w:rPr>
        <w:t>Adicionalmente, la contratación de pólizas de vida para los ediles de la Junta Administradora Local del Fondo de Desarrollo Rural de Sumapaz genera impactos indirectos en las dimensiones ambiental, social y política, debido a las características propias del territorio, su condición rural y su contexto institucional.</w:t>
      </w:r>
    </w:p>
    <w:p w14:paraId="3BDD7CC7" w14:textId="77777777" w:rsidR="00360D68" w:rsidRPr="000113B8" w:rsidRDefault="00360D68" w:rsidP="00360D68">
      <w:pPr>
        <w:jc w:val="both"/>
        <w:rPr>
          <w:rFonts w:ascii="Garamond" w:hAnsi="Garamond"/>
          <w:color w:val="000000" w:themeColor="text1"/>
          <w:lang w:eastAsia="es-CO"/>
        </w:rPr>
      </w:pPr>
    </w:p>
    <w:p w14:paraId="3B08C3F9" w14:textId="77777777" w:rsidR="00360D68" w:rsidRPr="000113B8" w:rsidRDefault="00360D68" w:rsidP="00C54B99">
      <w:pPr>
        <w:pStyle w:val="Prrafodelista"/>
        <w:widowControl/>
        <w:numPr>
          <w:ilvl w:val="0"/>
          <w:numId w:val="4"/>
        </w:numPr>
        <w:autoSpaceDE/>
        <w:autoSpaceDN/>
        <w:adjustRightInd w:val="0"/>
        <w:spacing w:line="256" w:lineRule="auto"/>
        <w:contextualSpacing/>
        <w:jc w:val="both"/>
        <w:rPr>
          <w:rFonts w:ascii="Garamond" w:hAnsi="Garamond"/>
          <w:b/>
          <w:bCs/>
          <w:i/>
          <w:iCs/>
          <w:color w:val="000000" w:themeColor="text1"/>
          <w:lang w:eastAsia="es-CO"/>
        </w:rPr>
      </w:pPr>
      <w:r w:rsidRPr="000113B8">
        <w:rPr>
          <w:rFonts w:ascii="Garamond" w:hAnsi="Garamond"/>
          <w:color w:val="000000" w:themeColor="text1"/>
          <w:lang w:eastAsia="es-CO"/>
        </w:rPr>
        <w:t xml:space="preserve">En el </w:t>
      </w:r>
      <w:r w:rsidRPr="000113B8">
        <w:rPr>
          <w:rFonts w:ascii="Garamond" w:hAnsi="Garamond"/>
          <w:b/>
          <w:bCs/>
          <w:color w:val="000000" w:themeColor="text1"/>
          <w:lang w:eastAsia="es-CO"/>
        </w:rPr>
        <w:t>ámbito ambiental</w:t>
      </w:r>
      <w:r w:rsidRPr="000113B8">
        <w:rPr>
          <w:rFonts w:ascii="Garamond" w:hAnsi="Garamond"/>
          <w:color w:val="000000" w:themeColor="text1"/>
          <w:lang w:eastAsia="es-CO"/>
        </w:rPr>
        <w:t xml:space="preserve">, Sumapaz es una localidad estratégica al ser parte del páramo más grande del mundo, con más de 78.000 hectáreas de ecosistemas altoandinos que cumplen funciones clave en la regulación hídrica y conservación de biodiversidad. En este contexto, aunque el sector asegurador no produce impactos ambientales directos, sí influye en la gestión del riesgo territorial, ya que permite transferir riesgos asociados a condiciones ambientales adversas (clima extremo, aislamiento geográfico, accidentes en zonas rurales). Asimismo, la implementación de políticas locales ha demostrado la importancia de la educación ambiental y la recuperación de espacios afectados por residuos, evidenciando la necesidad de fortalecer la sostenibilidad territorial. </w:t>
      </w:r>
    </w:p>
    <w:p w14:paraId="5A52ED97" w14:textId="77777777" w:rsidR="00360D68" w:rsidRPr="000113B8" w:rsidRDefault="00360D68" w:rsidP="00360D68">
      <w:pPr>
        <w:pStyle w:val="Prrafodelista"/>
        <w:widowControl/>
        <w:autoSpaceDE/>
        <w:autoSpaceDN/>
        <w:adjustRightInd w:val="0"/>
        <w:spacing w:line="256" w:lineRule="auto"/>
        <w:ind w:left="720" w:firstLine="0"/>
        <w:contextualSpacing/>
        <w:jc w:val="both"/>
        <w:rPr>
          <w:rFonts w:ascii="Garamond" w:hAnsi="Garamond"/>
          <w:b/>
          <w:bCs/>
          <w:i/>
          <w:iCs/>
          <w:color w:val="000000" w:themeColor="text1"/>
          <w:lang w:eastAsia="es-CO"/>
        </w:rPr>
      </w:pPr>
    </w:p>
    <w:p w14:paraId="3A71944B" w14:textId="77777777" w:rsidR="00360D68" w:rsidRPr="000113B8" w:rsidRDefault="00360D68" w:rsidP="00C54B99">
      <w:pPr>
        <w:pStyle w:val="Prrafodelista"/>
        <w:widowControl/>
        <w:numPr>
          <w:ilvl w:val="0"/>
          <w:numId w:val="4"/>
        </w:numPr>
        <w:autoSpaceDE/>
        <w:autoSpaceDN/>
        <w:adjustRightInd w:val="0"/>
        <w:spacing w:line="256" w:lineRule="auto"/>
        <w:contextualSpacing/>
        <w:jc w:val="both"/>
        <w:rPr>
          <w:rFonts w:ascii="Garamond" w:hAnsi="Garamond"/>
          <w:color w:val="000000" w:themeColor="text1"/>
          <w:lang w:eastAsia="es-CO"/>
        </w:rPr>
      </w:pPr>
      <w:r w:rsidRPr="000113B8">
        <w:rPr>
          <w:rFonts w:ascii="Garamond" w:hAnsi="Garamond"/>
          <w:color w:val="000000" w:themeColor="text1"/>
          <w:lang w:eastAsia="es-CO"/>
        </w:rPr>
        <w:t xml:space="preserve">En el </w:t>
      </w:r>
      <w:r w:rsidRPr="000113B8">
        <w:rPr>
          <w:rFonts w:ascii="Garamond" w:hAnsi="Garamond"/>
          <w:b/>
          <w:bCs/>
          <w:color w:val="000000" w:themeColor="text1"/>
          <w:lang w:eastAsia="es-CO"/>
        </w:rPr>
        <w:t xml:space="preserve">ámbito social, </w:t>
      </w:r>
      <w:r w:rsidRPr="000113B8">
        <w:rPr>
          <w:rFonts w:ascii="Garamond" w:hAnsi="Garamond"/>
          <w:color w:val="000000" w:themeColor="text1"/>
          <w:lang w:eastAsia="es-CO"/>
        </w:rPr>
        <w:t>el impacto es significativo, al brindar protección económica a los 7 ediles y sus familias frente a riesgos como el fallecimiento o la incapacidad, reduciendo su nivel de vulnerabilidad.</w:t>
      </w:r>
      <w:r w:rsidRPr="000113B8">
        <w:rPr>
          <w:rFonts w:ascii="Garamond" w:hAnsi="Garamond"/>
          <w:color w:val="000000" w:themeColor="text1"/>
        </w:rPr>
        <w:t xml:space="preserve"> </w:t>
      </w:r>
      <w:r w:rsidRPr="000113B8">
        <w:rPr>
          <w:rFonts w:ascii="Garamond" w:hAnsi="Garamond"/>
          <w:color w:val="000000" w:themeColor="text1"/>
          <w:lang w:eastAsia="es-CO"/>
        </w:rPr>
        <w:t xml:space="preserve">De manera complementaria, fortalece el ejercicio de la función pública y la democracia local, al ofrecer </w:t>
      </w:r>
      <w:r w:rsidRPr="000113B8">
        <w:rPr>
          <w:rFonts w:ascii="Garamond" w:hAnsi="Garamond"/>
          <w:color w:val="000000" w:themeColor="text1"/>
          <w:lang w:eastAsia="es-CO"/>
        </w:rPr>
        <w:lastRenderedPageBreak/>
        <w:t>mayores condiciones de seguridad para el desempeño de sus funciones, lo que se traduce en una mejor representación comunitaria y en el fortalecimiento de la participación ciudadana.</w:t>
      </w:r>
      <w:r w:rsidRPr="000113B8">
        <w:rPr>
          <w:rFonts w:ascii="Garamond" w:hAnsi="Garamond"/>
          <w:color w:val="000000" w:themeColor="text1"/>
        </w:rPr>
        <w:t xml:space="preserve"> </w:t>
      </w:r>
      <w:r w:rsidRPr="000113B8">
        <w:rPr>
          <w:rFonts w:ascii="Garamond" w:hAnsi="Garamond"/>
          <w:color w:val="000000" w:themeColor="text1"/>
          <w:lang w:eastAsia="es-CO"/>
        </w:rPr>
        <w:t>Este impacto adquiere mayor relevancia en el contexto rural de Sumapaz, donde las condiciones del territorio incrementan los riesgos asociados al ejercicio del cargo; en este sentido, la póliza se consolida como un mecanismo de equidad territorial, que contribuye a la confianza institucional y a la continuidad efectiva de la gestión pública en la localidad.</w:t>
      </w:r>
    </w:p>
    <w:p w14:paraId="3252E44D" w14:textId="77777777" w:rsidR="00360D68" w:rsidRPr="000113B8" w:rsidRDefault="00360D68" w:rsidP="00360D68">
      <w:pPr>
        <w:pStyle w:val="Prrafodelista"/>
        <w:widowControl/>
        <w:autoSpaceDE/>
        <w:autoSpaceDN/>
        <w:adjustRightInd w:val="0"/>
        <w:spacing w:line="256" w:lineRule="auto"/>
        <w:ind w:left="720" w:firstLine="0"/>
        <w:contextualSpacing/>
        <w:jc w:val="both"/>
        <w:rPr>
          <w:rFonts w:ascii="Garamond" w:hAnsi="Garamond"/>
          <w:color w:val="000000" w:themeColor="text1"/>
          <w:lang w:eastAsia="es-CO"/>
        </w:rPr>
      </w:pPr>
    </w:p>
    <w:p w14:paraId="0F76A83C" w14:textId="5337EACE" w:rsidR="00A502A1" w:rsidRPr="000113B8" w:rsidRDefault="00360D68" w:rsidP="00C54B99">
      <w:pPr>
        <w:pStyle w:val="Prrafodelista"/>
        <w:widowControl/>
        <w:numPr>
          <w:ilvl w:val="0"/>
          <w:numId w:val="4"/>
        </w:numPr>
        <w:autoSpaceDE/>
        <w:autoSpaceDN/>
        <w:adjustRightInd w:val="0"/>
        <w:spacing w:line="256" w:lineRule="auto"/>
        <w:contextualSpacing/>
        <w:jc w:val="both"/>
        <w:rPr>
          <w:rFonts w:ascii="Garamond" w:hAnsi="Garamond"/>
          <w:color w:val="000000" w:themeColor="text1"/>
          <w:spacing w:val="-2"/>
        </w:rPr>
      </w:pPr>
      <w:r w:rsidRPr="000113B8">
        <w:rPr>
          <w:rFonts w:ascii="Garamond" w:hAnsi="Garamond"/>
          <w:color w:val="000000" w:themeColor="text1"/>
          <w:lang w:eastAsia="es-CO"/>
        </w:rPr>
        <w:t xml:space="preserve">En el </w:t>
      </w:r>
      <w:r w:rsidRPr="000113B8">
        <w:rPr>
          <w:rFonts w:ascii="Garamond" w:hAnsi="Garamond"/>
          <w:b/>
          <w:bCs/>
          <w:color w:val="000000" w:themeColor="text1"/>
          <w:lang w:eastAsia="es-CO"/>
        </w:rPr>
        <w:t>ámbito político</w:t>
      </w:r>
      <w:r w:rsidRPr="000113B8">
        <w:rPr>
          <w:rFonts w:ascii="Garamond" w:hAnsi="Garamond"/>
          <w:color w:val="000000" w:themeColor="text1"/>
        </w:rPr>
        <w:t xml:space="preserve"> </w:t>
      </w:r>
      <w:r w:rsidRPr="000113B8">
        <w:rPr>
          <w:rFonts w:ascii="Garamond" w:hAnsi="Garamond"/>
          <w:color w:val="000000" w:themeColor="text1"/>
          <w:lang w:eastAsia="es-CO"/>
        </w:rPr>
        <w:t>Sumapaz tiene una relevancia especial debido a su historia de conflicto armado y su inclusión en programas de desarrollo territorial como los PDET en Bogotá, orientados a la construcción de paz y desarrollo rural. En este sentido, la contratación de pólizas de vida se convierte en un instrumento de fortalecimiento institucional, al garantizar condiciones de protección para los ediles, quienes cumplen funciones de representación comunitaria y gobernanza local.</w:t>
      </w:r>
      <w:r w:rsidRPr="000113B8">
        <w:rPr>
          <w:rFonts w:ascii="Garamond" w:hAnsi="Garamond"/>
          <w:color w:val="000000" w:themeColor="text1"/>
        </w:rPr>
        <w:t xml:space="preserve"> </w:t>
      </w:r>
      <w:r w:rsidRPr="000113B8">
        <w:rPr>
          <w:rFonts w:ascii="Garamond" w:hAnsi="Garamond"/>
          <w:color w:val="000000" w:themeColor="text1"/>
          <w:lang w:eastAsia="es-CO"/>
        </w:rPr>
        <w:t>Adicionalmente, el Plan de Desarrollo Local ha priorizado la participación ciudadana, la inclusión social y la construcción de tejido comunitario, lo cual se ve respaldado por mecanismos de protección como los seguros</w:t>
      </w:r>
      <w:r w:rsidR="00753560" w:rsidRPr="000113B8">
        <w:rPr>
          <w:rFonts w:ascii="Garamond" w:hAnsi="Garamond"/>
          <w:color w:val="000000" w:themeColor="text1"/>
          <w:lang w:eastAsia="es-CO"/>
        </w:rPr>
        <w:t>.</w:t>
      </w:r>
      <w:bookmarkEnd w:id="16"/>
    </w:p>
    <w:p w14:paraId="4E2BE157" w14:textId="77777777" w:rsidR="009A7F8F" w:rsidRPr="000113B8" w:rsidRDefault="009A7F8F" w:rsidP="00C0220B">
      <w:pPr>
        <w:ind w:right="104"/>
        <w:contextualSpacing/>
        <w:jc w:val="both"/>
        <w:rPr>
          <w:rFonts w:ascii="Garamond" w:hAnsi="Garamond" w:cs="Arial"/>
          <w:color w:val="000000" w:themeColor="text1"/>
          <w:lang w:val="es-CO"/>
        </w:rPr>
      </w:pPr>
    </w:p>
    <w:bookmarkEnd w:id="2"/>
    <w:bookmarkEnd w:id="3"/>
    <w:bookmarkEnd w:id="4"/>
    <w:bookmarkEnd w:id="5"/>
    <w:p w14:paraId="2C633513" w14:textId="458609D5" w:rsidR="00933694" w:rsidRPr="000113B8" w:rsidRDefault="0017067F" w:rsidP="00C54B99">
      <w:pPr>
        <w:pStyle w:val="Prrafodelista"/>
        <w:numPr>
          <w:ilvl w:val="0"/>
          <w:numId w:val="22"/>
        </w:numPr>
        <w:rPr>
          <w:rFonts w:ascii="Garamond" w:hAnsi="Garamond" w:cs="Arial"/>
          <w:b/>
          <w:color w:val="000000" w:themeColor="text1"/>
          <w:lang w:val="es-CO"/>
        </w:rPr>
      </w:pPr>
      <w:r w:rsidRPr="000113B8">
        <w:rPr>
          <w:rFonts w:ascii="Garamond" w:hAnsi="Garamond" w:cs="Arial"/>
          <w:b/>
          <w:color w:val="000000" w:themeColor="text1"/>
          <w:lang w:val="es-CO"/>
        </w:rPr>
        <w:t>A</w:t>
      </w:r>
      <w:r w:rsidR="00933694" w:rsidRPr="000113B8">
        <w:rPr>
          <w:rFonts w:ascii="Garamond" w:hAnsi="Garamond" w:cs="Arial"/>
          <w:b/>
          <w:color w:val="000000" w:themeColor="text1"/>
          <w:lang w:val="es-CO"/>
        </w:rPr>
        <w:t>N</w:t>
      </w:r>
      <w:r w:rsidRPr="000113B8">
        <w:rPr>
          <w:rFonts w:ascii="Garamond" w:hAnsi="Garamond" w:cs="Arial"/>
          <w:b/>
          <w:color w:val="000000" w:themeColor="text1"/>
          <w:lang w:val="es-CO"/>
        </w:rPr>
        <w:t>Á</w:t>
      </w:r>
      <w:r w:rsidR="00933694" w:rsidRPr="000113B8">
        <w:rPr>
          <w:rFonts w:ascii="Garamond" w:hAnsi="Garamond" w:cs="Arial"/>
          <w:b/>
          <w:color w:val="000000" w:themeColor="text1"/>
          <w:lang w:val="es-CO"/>
        </w:rPr>
        <w:t xml:space="preserve">LISIS DE LA OFERTA </w:t>
      </w:r>
    </w:p>
    <w:p w14:paraId="5DBC912E" w14:textId="77777777" w:rsidR="002D6843" w:rsidRPr="000113B8" w:rsidRDefault="002D6843" w:rsidP="002D6843">
      <w:pPr>
        <w:pStyle w:val="Prrafodelista"/>
        <w:ind w:left="360" w:firstLine="0"/>
        <w:rPr>
          <w:rFonts w:ascii="Garamond" w:hAnsi="Garamond" w:cs="Arial"/>
          <w:b/>
          <w:color w:val="000000" w:themeColor="text1"/>
          <w:lang w:val="es-CO"/>
        </w:rPr>
      </w:pPr>
    </w:p>
    <w:p w14:paraId="6840713F" w14:textId="77777777" w:rsidR="00D64467" w:rsidRPr="000113B8" w:rsidRDefault="00D64467" w:rsidP="00D64467">
      <w:pPr>
        <w:jc w:val="both"/>
        <w:rPr>
          <w:rFonts w:ascii="Garamond" w:hAnsi="Garamond"/>
          <w:color w:val="000000" w:themeColor="text1"/>
        </w:rPr>
      </w:pPr>
      <w:bookmarkStart w:id="17" w:name="_Hlk206932783"/>
      <w:r w:rsidRPr="000113B8">
        <w:rPr>
          <w:rFonts w:ascii="Garamond" w:hAnsi="Garamond"/>
          <w:color w:val="000000" w:themeColor="text1"/>
        </w:rPr>
        <w:t xml:space="preserve">El sector asegurador se encuentra segmentado en dos grandes líneas, una de personas (vida) y otra de daños (generales), las cuales, a pesar de sus semejanzas, tienen particularidades que las hacen especiales y son la base de cualquier ejercicio prospectivo del sector. </w:t>
      </w:r>
    </w:p>
    <w:p w14:paraId="0B4565F7" w14:textId="77777777" w:rsidR="00D64467" w:rsidRPr="000113B8" w:rsidRDefault="00D64467" w:rsidP="00D64467">
      <w:pPr>
        <w:jc w:val="both"/>
        <w:rPr>
          <w:rFonts w:ascii="Garamond" w:hAnsi="Garamond"/>
          <w:color w:val="000000" w:themeColor="text1"/>
        </w:rPr>
      </w:pPr>
    </w:p>
    <w:p w14:paraId="006573AD" w14:textId="77777777" w:rsidR="00D64467" w:rsidRPr="000113B8" w:rsidRDefault="00D64467" w:rsidP="00D64467">
      <w:pPr>
        <w:jc w:val="both"/>
        <w:rPr>
          <w:rFonts w:ascii="Garamond" w:hAnsi="Garamond"/>
          <w:color w:val="000000" w:themeColor="text1"/>
        </w:rPr>
      </w:pPr>
      <w:r w:rsidRPr="000113B8">
        <w:rPr>
          <w:rFonts w:ascii="Garamond" w:hAnsi="Garamond"/>
          <w:color w:val="000000" w:themeColor="text1"/>
        </w:rPr>
        <w:t xml:space="preserve">De conformidad con el objeto a contratar el segmento corresponde a los </w:t>
      </w:r>
      <w:r w:rsidRPr="000113B8">
        <w:rPr>
          <w:rFonts w:ascii="Garamond" w:hAnsi="Garamond"/>
          <w:b/>
          <w:color w:val="000000" w:themeColor="text1"/>
        </w:rPr>
        <w:t xml:space="preserve">seguros de personas </w:t>
      </w:r>
      <w:r w:rsidRPr="000113B8">
        <w:rPr>
          <w:rFonts w:ascii="Garamond" w:hAnsi="Garamond"/>
          <w:bCs/>
          <w:color w:val="000000" w:themeColor="text1"/>
        </w:rPr>
        <w:t>que</w:t>
      </w:r>
      <w:r w:rsidRPr="000113B8">
        <w:rPr>
          <w:rFonts w:ascii="Garamond" w:hAnsi="Garamond"/>
          <w:b/>
          <w:color w:val="000000" w:themeColor="text1"/>
        </w:rPr>
        <w:t xml:space="preserve"> </w:t>
      </w:r>
      <w:r w:rsidRPr="000113B8">
        <w:rPr>
          <w:rFonts w:ascii="Garamond" w:hAnsi="Garamond"/>
          <w:color w:val="000000" w:themeColor="text1"/>
        </w:rPr>
        <w:t>como su nombre lo indica, cubren riesgos relacionados con la vida o salud; por lo tanto, son, en general, de largo plazo.</w:t>
      </w:r>
    </w:p>
    <w:p w14:paraId="4F135723" w14:textId="77777777" w:rsidR="00D64467" w:rsidRPr="000113B8" w:rsidRDefault="00D64467" w:rsidP="00D64467">
      <w:pPr>
        <w:jc w:val="both"/>
        <w:rPr>
          <w:rFonts w:ascii="Garamond" w:hAnsi="Garamond"/>
          <w:color w:val="000000" w:themeColor="text1"/>
        </w:rPr>
      </w:pPr>
      <w:r w:rsidRPr="000113B8">
        <w:rPr>
          <w:rFonts w:ascii="Garamond" w:hAnsi="Garamond"/>
          <w:color w:val="000000" w:themeColor="text1"/>
        </w:rPr>
        <w:t xml:space="preserve"> </w:t>
      </w:r>
    </w:p>
    <w:p w14:paraId="3402C8C3" w14:textId="77777777" w:rsidR="00D64467" w:rsidRPr="000113B8" w:rsidRDefault="00D64467" w:rsidP="00D64467">
      <w:pPr>
        <w:jc w:val="both"/>
        <w:rPr>
          <w:rFonts w:ascii="Garamond" w:hAnsi="Garamond"/>
          <w:color w:val="000000" w:themeColor="text1"/>
        </w:rPr>
      </w:pPr>
      <w:r w:rsidRPr="000113B8">
        <w:rPr>
          <w:rFonts w:ascii="Garamond" w:hAnsi="Garamond"/>
          <w:color w:val="000000" w:themeColor="text1"/>
        </w:rPr>
        <w:t>Dentro del presente análisis se determina QUIEN VENDE, es decir, que compañías de seguros en Colombia tiene aprobados los ramos comúnmente contratados por las Entidades Públicas, tanto para seguros de daños como para seguros de personas, aclarando que esta información puede ser modificada en cualquier momento bien sea porque la Compañía de Seguros radica ante la Superintendencia Financiera de Colombia un nuevo ramo de seguros que no comercializa o por el contrario, decide no comercializar algún ramo que tenga aprobado.</w:t>
      </w:r>
    </w:p>
    <w:p w14:paraId="69DCAA0B" w14:textId="77777777" w:rsidR="00D64467" w:rsidRPr="000113B8" w:rsidRDefault="00D64467" w:rsidP="00D64467">
      <w:pPr>
        <w:jc w:val="both"/>
        <w:rPr>
          <w:rFonts w:ascii="Garamond" w:hAnsi="Garamond"/>
          <w:color w:val="000000" w:themeColor="text1"/>
        </w:rPr>
      </w:pPr>
    </w:p>
    <w:p w14:paraId="76B7C1C3" w14:textId="1678B158" w:rsidR="00D64467" w:rsidRPr="000113B8" w:rsidRDefault="00D64467" w:rsidP="009A7F8F">
      <w:pPr>
        <w:pStyle w:val="NormalWeb"/>
        <w:contextualSpacing/>
        <w:jc w:val="both"/>
        <w:rPr>
          <w:rFonts w:ascii="Garamond" w:hAnsi="Garamond" w:cs="Arial"/>
          <w:b/>
          <w:bCs/>
          <w:color w:val="000000" w:themeColor="text1"/>
          <w:sz w:val="22"/>
          <w:szCs w:val="22"/>
          <w:lang w:val="es-MX"/>
        </w:rPr>
      </w:pPr>
      <w:r w:rsidRPr="000113B8">
        <w:rPr>
          <w:rFonts w:ascii="Garamond" w:hAnsi="Garamond" w:cs="Arial"/>
          <w:color w:val="000000" w:themeColor="text1"/>
          <w:sz w:val="22"/>
          <w:szCs w:val="22"/>
        </w:rPr>
        <w:t xml:space="preserve">De acuerdo con lo anterior, la </w:t>
      </w:r>
      <w:r w:rsidRPr="000113B8">
        <w:rPr>
          <w:rFonts w:ascii="Garamond" w:hAnsi="Garamond" w:cs="Arial"/>
          <w:color w:val="000000" w:themeColor="text1"/>
          <w:sz w:val="22"/>
          <w:szCs w:val="22"/>
          <w:lang w:val="es-ES_tradnl"/>
        </w:rPr>
        <w:t>Superintendencia financiera de Colombia ha otorgado aprobación a Compañías de Seguros, de las cuales 28 son de seguros generales y 21 especializadas en los ramos de vida y en donde 3 de ellas corresponden a cooperativas. A continuación, se detallan las compañías de seguros que tienen aprobada la comercialización del ramo de vida:</w:t>
      </w:r>
      <w:bookmarkStart w:id="18" w:name="_Hlk220064806"/>
    </w:p>
    <w:p w14:paraId="029143FD" w14:textId="77777777" w:rsidR="00D64467" w:rsidRPr="000113B8" w:rsidRDefault="00D64467" w:rsidP="00D64467">
      <w:pPr>
        <w:jc w:val="center"/>
        <w:rPr>
          <w:rFonts w:ascii="Garamond" w:hAnsi="Garamond" w:cs="Arial"/>
          <w:b/>
          <w:bCs/>
          <w:color w:val="000000" w:themeColor="text1"/>
          <w:lang w:val="es-MX"/>
        </w:rPr>
      </w:pPr>
    </w:p>
    <w:tbl>
      <w:tblPr>
        <w:tblW w:w="5000" w:type="pct"/>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611"/>
        <w:gridCol w:w="2119"/>
        <w:gridCol w:w="1213"/>
        <w:gridCol w:w="1843"/>
        <w:gridCol w:w="1188"/>
        <w:gridCol w:w="2376"/>
      </w:tblGrid>
      <w:tr w:rsidR="009A7F8F" w:rsidRPr="000113B8" w14:paraId="206C2E29" w14:textId="77777777" w:rsidTr="00EC7684">
        <w:trPr>
          <w:trHeight w:val="736"/>
          <w:jc w:val="center"/>
        </w:trPr>
        <w:tc>
          <w:tcPr>
            <w:tcW w:w="571" w:type="pct"/>
            <w:vAlign w:val="center"/>
          </w:tcPr>
          <w:p w14:paraId="19E9F4FD" w14:textId="77777777" w:rsidR="00D64467" w:rsidRPr="000113B8" w:rsidRDefault="00D64467" w:rsidP="00EC7684">
            <w:pPr>
              <w:jc w:val="center"/>
              <w:rPr>
                <w:rFonts w:ascii="Garamond" w:hAnsi="Garamond" w:cs="Arial"/>
                <w:b/>
                <w:bCs/>
                <w:color w:val="000000" w:themeColor="text1"/>
              </w:rPr>
            </w:pPr>
            <w:bookmarkStart w:id="19" w:name="_Hlk220065318"/>
            <w:bookmarkStart w:id="20" w:name="_Hlk220064861"/>
            <w:bookmarkEnd w:id="18"/>
            <w:r w:rsidRPr="000113B8">
              <w:rPr>
                <w:rFonts w:ascii="Garamond" w:hAnsi="Garamond" w:cs="Arial"/>
                <w:b/>
                <w:bCs/>
                <w:color w:val="000000" w:themeColor="text1"/>
              </w:rPr>
              <w:t>No.</w:t>
            </w:r>
          </w:p>
        </w:tc>
        <w:tc>
          <w:tcPr>
            <w:tcW w:w="945" w:type="pct"/>
            <w:vAlign w:val="center"/>
            <w:hideMark/>
          </w:tcPr>
          <w:p w14:paraId="3F684A9B" w14:textId="77777777" w:rsidR="00D64467" w:rsidRPr="000113B8" w:rsidRDefault="00D64467" w:rsidP="00EC7684">
            <w:pPr>
              <w:jc w:val="center"/>
              <w:rPr>
                <w:rFonts w:ascii="Garamond" w:hAnsi="Garamond" w:cs="Arial"/>
                <w:b/>
                <w:bCs/>
                <w:color w:val="000000" w:themeColor="text1"/>
              </w:rPr>
            </w:pPr>
            <w:r w:rsidRPr="000113B8">
              <w:rPr>
                <w:rFonts w:ascii="Garamond" w:hAnsi="Garamond" w:cs="Arial"/>
                <w:b/>
                <w:bCs/>
                <w:color w:val="000000" w:themeColor="text1"/>
              </w:rPr>
              <w:t>DENOMINACIÓN SOCIAL DE LA ENTIDAD</w:t>
            </w:r>
          </w:p>
        </w:tc>
        <w:tc>
          <w:tcPr>
            <w:tcW w:w="708" w:type="pct"/>
            <w:vAlign w:val="center"/>
            <w:hideMark/>
          </w:tcPr>
          <w:p w14:paraId="1F02EBBC" w14:textId="77777777" w:rsidR="00D64467" w:rsidRPr="000113B8" w:rsidRDefault="00D64467" w:rsidP="00EC7684">
            <w:pPr>
              <w:jc w:val="center"/>
              <w:rPr>
                <w:rFonts w:ascii="Garamond" w:hAnsi="Garamond" w:cs="Arial"/>
                <w:b/>
                <w:bCs/>
                <w:color w:val="000000" w:themeColor="text1"/>
              </w:rPr>
            </w:pPr>
            <w:r w:rsidRPr="000113B8">
              <w:rPr>
                <w:rFonts w:ascii="Garamond" w:hAnsi="Garamond" w:cs="Arial"/>
                <w:b/>
                <w:bCs/>
                <w:color w:val="000000" w:themeColor="text1"/>
              </w:rPr>
              <w:t>NIT</w:t>
            </w:r>
          </w:p>
        </w:tc>
        <w:tc>
          <w:tcPr>
            <w:tcW w:w="1098" w:type="pct"/>
            <w:vAlign w:val="center"/>
          </w:tcPr>
          <w:p w14:paraId="4E1A5374" w14:textId="77777777" w:rsidR="00D64467" w:rsidRPr="000113B8" w:rsidRDefault="00D64467" w:rsidP="00EC7684">
            <w:pPr>
              <w:jc w:val="center"/>
              <w:rPr>
                <w:rFonts w:ascii="Garamond" w:hAnsi="Garamond" w:cs="Arial"/>
                <w:b/>
                <w:bCs/>
                <w:color w:val="000000" w:themeColor="text1"/>
              </w:rPr>
            </w:pPr>
            <w:r w:rsidRPr="000113B8">
              <w:rPr>
                <w:rFonts w:ascii="Garamond" w:hAnsi="Garamond" w:cs="Arial"/>
                <w:b/>
                <w:bCs/>
                <w:color w:val="000000" w:themeColor="text1"/>
              </w:rPr>
              <w:t>RAMOS AUTORIZADOS</w:t>
            </w:r>
          </w:p>
        </w:tc>
        <w:tc>
          <w:tcPr>
            <w:tcW w:w="1678" w:type="pct"/>
            <w:gridSpan w:val="2"/>
            <w:vAlign w:val="center"/>
            <w:hideMark/>
          </w:tcPr>
          <w:p w14:paraId="63005FE8" w14:textId="77777777" w:rsidR="00D64467" w:rsidRPr="000113B8" w:rsidRDefault="00D64467" w:rsidP="00EC7684">
            <w:pPr>
              <w:jc w:val="center"/>
              <w:rPr>
                <w:rFonts w:ascii="Garamond" w:hAnsi="Garamond" w:cs="Arial"/>
                <w:b/>
                <w:bCs/>
                <w:color w:val="000000" w:themeColor="text1"/>
              </w:rPr>
            </w:pPr>
            <w:r w:rsidRPr="000113B8">
              <w:rPr>
                <w:rFonts w:ascii="Garamond" w:hAnsi="Garamond" w:cs="Arial"/>
                <w:b/>
                <w:bCs/>
                <w:color w:val="000000" w:themeColor="text1"/>
              </w:rPr>
              <w:t>DOMICILIO</w:t>
            </w:r>
          </w:p>
        </w:tc>
      </w:tr>
      <w:tr w:rsidR="009A7F8F" w:rsidRPr="000113B8" w14:paraId="4F5CA9B8" w14:textId="77777777" w:rsidTr="00EC7684">
        <w:trPr>
          <w:trHeight w:val="699"/>
          <w:jc w:val="center"/>
        </w:trPr>
        <w:tc>
          <w:tcPr>
            <w:tcW w:w="571" w:type="pct"/>
            <w:shd w:val="clear" w:color="auto" w:fill="F2F2F2"/>
            <w:vAlign w:val="center"/>
          </w:tcPr>
          <w:p w14:paraId="71339D6E" w14:textId="77777777" w:rsidR="00D64467" w:rsidRPr="000113B8" w:rsidRDefault="00D64467" w:rsidP="00EC7684">
            <w:pPr>
              <w:jc w:val="center"/>
              <w:rPr>
                <w:rFonts w:ascii="Garamond" w:hAnsi="Garamond" w:cs="Arial"/>
                <w:b/>
                <w:bCs/>
                <w:color w:val="000000" w:themeColor="text1"/>
              </w:rPr>
            </w:pPr>
            <w:r w:rsidRPr="000113B8">
              <w:rPr>
                <w:rFonts w:ascii="Garamond" w:hAnsi="Garamond" w:cs="Arial"/>
                <w:b/>
                <w:bCs/>
                <w:color w:val="000000" w:themeColor="text1"/>
              </w:rPr>
              <w:t>1</w:t>
            </w:r>
          </w:p>
        </w:tc>
        <w:tc>
          <w:tcPr>
            <w:tcW w:w="945" w:type="pct"/>
            <w:shd w:val="clear" w:color="auto" w:fill="F2F2F2"/>
            <w:vAlign w:val="center"/>
            <w:hideMark/>
          </w:tcPr>
          <w:p w14:paraId="642B6A30" w14:textId="77777777" w:rsidR="00D64467" w:rsidRPr="000113B8" w:rsidRDefault="00D64467" w:rsidP="00EC7684">
            <w:pPr>
              <w:jc w:val="center"/>
              <w:rPr>
                <w:rFonts w:ascii="Garamond" w:hAnsi="Garamond" w:cs="Arial"/>
                <w:b/>
                <w:bCs/>
                <w:color w:val="000000" w:themeColor="text1"/>
              </w:rPr>
            </w:pPr>
            <w:r w:rsidRPr="000113B8">
              <w:rPr>
                <w:rFonts w:ascii="Garamond" w:hAnsi="Garamond" w:cs="Arial"/>
                <w:b/>
                <w:bCs/>
                <w:color w:val="000000" w:themeColor="text1"/>
              </w:rPr>
              <w:t>Allianz Seguros de Vida S.A.</w:t>
            </w:r>
          </w:p>
        </w:tc>
        <w:tc>
          <w:tcPr>
            <w:tcW w:w="708" w:type="pct"/>
            <w:shd w:val="clear" w:color="auto" w:fill="F2F2F2"/>
            <w:vAlign w:val="center"/>
            <w:hideMark/>
          </w:tcPr>
          <w:p w14:paraId="70959C8F" w14:textId="77777777" w:rsidR="00D64467" w:rsidRPr="000113B8" w:rsidRDefault="00D64467" w:rsidP="00EC7684">
            <w:pPr>
              <w:jc w:val="center"/>
              <w:rPr>
                <w:rFonts w:ascii="Garamond" w:hAnsi="Garamond" w:cs="Arial"/>
                <w:color w:val="000000" w:themeColor="text1"/>
              </w:rPr>
            </w:pPr>
            <w:r w:rsidRPr="000113B8">
              <w:rPr>
                <w:rFonts w:ascii="Garamond" w:hAnsi="Garamond" w:cs="Arial"/>
                <w:color w:val="000000" w:themeColor="text1"/>
              </w:rPr>
              <w:t>860027404-1</w:t>
            </w:r>
          </w:p>
        </w:tc>
        <w:tc>
          <w:tcPr>
            <w:tcW w:w="1098" w:type="pct"/>
            <w:shd w:val="clear" w:color="auto" w:fill="F2F2F2"/>
            <w:vAlign w:val="center"/>
          </w:tcPr>
          <w:p w14:paraId="36A41415" w14:textId="77777777" w:rsidR="00D64467" w:rsidRPr="000113B8" w:rsidRDefault="00D64467" w:rsidP="00EC7684">
            <w:pPr>
              <w:jc w:val="center"/>
              <w:rPr>
                <w:rFonts w:ascii="Garamond" w:hAnsi="Garamond" w:cs="Arial"/>
                <w:color w:val="000000" w:themeColor="text1"/>
              </w:rPr>
            </w:pPr>
            <w:r w:rsidRPr="000113B8">
              <w:rPr>
                <w:rFonts w:ascii="Garamond" w:hAnsi="Garamond" w:cs="Arial"/>
                <w:color w:val="000000" w:themeColor="text1"/>
              </w:rPr>
              <w:t>Accidentes Personales, Vida Grupo, y Vida Individual, Salud, Pensiones Voluntarias.</w:t>
            </w:r>
          </w:p>
        </w:tc>
        <w:tc>
          <w:tcPr>
            <w:tcW w:w="517" w:type="pct"/>
            <w:shd w:val="clear" w:color="auto" w:fill="F2F2F2"/>
            <w:vAlign w:val="center"/>
            <w:hideMark/>
          </w:tcPr>
          <w:p w14:paraId="4FA34677" w14:textId="77777777" w:rsidR="00D64467" w:rsidRPr="000113B8" w:rsidRDefault="00D64467" w:rsidP="00EC7684">
            <w:pPr>
              <w:jc w:val="center"/>
              <w:rPr>
                <w:rFonts w:ascii="Garamond" w:hAnsi="Garamond" w:cs="Arial"/>
                <w:color w:val="000000" w:themeColor="text1"/>
              </w:rPr>
            </w:pPr>
            <w:r w:rsidRPr="000113B8">
              <w:rPr>
                <w:rFonts w:ascii="Garamond" w:hAnsi="Garamond" w:cs="Arial"/>
                <w:color w:val="000000" w:themeColor="text1"/>
              </w:rPr>
              <w:t>Bogotá D.C.</w:t>
            </w:r>
          </w:p>
        </w:tc>
        <w:tc>
          <w:tcPr>
            <w:tcW w:w="1161" w:type="pct"/>
            <w:shd w:val="clear" w:color="auto" w:fill="F2F2F2"/>
            <w:vAlign w:val="center"/>
          </w:tcPr>
          <w:p w14:paraId="45D31F18" w14:textId="77777777" w:rsidR="00D64467" w:rsidRPr="000113B8" w:rsidRDefault="00D64467" w:rsidP="00EC7684">
            <w:pPr>
              <w:jc w:val="center"/>
              <w:rPr>
                <w:rFonts w:ascii="Garamond" w:hAnsi="Garamond" w:cs="Arial"/>
                <w:color w:val="000000" w:themeColor="text1"/>
              </w:rPr>
            </w:pPr>
            <w:r w:rsidRPr="000113B8">
              <w:rPr>
                <w:rFonts w:ascii="Garamond" w:hAnsi="Garamond" w:cs="Arial"/>
                <w:noProof/>
                <w:color w:val="000000" w:themeColor="text1"/>
                <w:lang w:val="es-MX" w:eastAsia="es-MX"/>
              </w:rPr>
              <w:drawing>
                <wp:inline distT="0" distB="0" distL="0" distR="0" wp14:anchorId="65C7F02B" wp14:editId="42559DD8">
                  <wp:extent cx="628650" cy="390525"/>
                  <wp:effectExtent l="0" t="0" r="0" b="9525"/>
                  <wp:docPr id="2124367498" name="Imagen 44" descr="Interfaz de usuario gráfica&#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 descr="Interfaz de usuario gráfica&#10;&#10;Descripción generada automáticamente con confianza baja"/>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28650" cy="390525"/>
                          </a:xfrm>
                          <a:prstGeom prst="rect">
                            <a:avLst/>
                          </a:prstGeom>
                          <a:noFill/>
                          <a:ln>
                            <a:noFill/>
                          </a:ln>
                        </pic:spPr>
                      </pic:pic>
                    </a:graphicData>
                  </a:graphic>
                </wp:inline>
              </w:drawing>
            </w:r>
          </w:p>
        </w:tc>
      </w:tr>
      <w:tr w:rsidR="009A7F8F" w:rsidRPr="000113B8" w14:paraId="5365904A" w14:textId="77777777" w:rsidTr="00EC7684">
        <w:trPr>
          <w:trHeight w:val="699"/>
          <w:jc w:val="center"/>
        </w:trPr>
        <w:tc>
          <w:tcPr>
            <w:tcW w:w="571" w:type="pct"/>
            <w:vAlign w:val="center"/>
          </w:tcPr>
          <w:p w14:paraId="30E7D50E" w14:textId="77777777" w:rsidR="00D64467" w:rsidRPr="000113B8" w:rsidRDefault="00D64467" w:rsidP="00EC7684">
            <w:pPr>
              <w:jc w:val="center"/>
              <w:rPr>
                <w:rFonts w:ascii="Garamond" w:hAnsi="Garamond" w:cs="Arial"/>
                <w:b/>
                <w:bCs/>
                <w:color w:val="000000" w:themeColor="text1"/>
              </w:rPr>
            </w:pPr>
            <w:r w:rsidRPr="000113B8">
              <w:rPr>
                <w:rFonts w:ascii="Garamond" w:hAnsi="Garamond" w:cs="Arial"/>
                <w:b/>
                <w:bCs/>
                <w:color w:val="000000" w:themeColor="text1"/>
              </w:rPr>
              <w:t>2</w:t>
            </w:r>
          </w:p>
        </w:tc>
        <w:tc>
          <w:tcPr>
            <w:tcW w:w="945" w:type="pct"/>
            <w:vAlign w:val="center"/>
          </w:tcPr>
          <w:p w14:paraId="48E5526D" w14:textId="77777777" w:rsidR="00D64467" w:rsidRPr="000113B8" w:rsidRDefault="00D64467" w:rsidP="00EC7684">
            <w:pPr>
              <w:jc w:val="center"/>
              <w:rPr>
                <w:rFonts w:ascii="Garamond" w:hAnsi="Garamond" w:cs="Arial"/>
                <w:b/>
                <w:bCs/>
                <w:color w:val="000000" w:themeColor="text1"/>
              </w:rPr>
            </w:pPr>
            <w:r w:rsidRPr="000113B8">
              <w:rPr>
                <w:rFonts w:ascii="Garamond" w:hAnsi="Garamond" w:cs="Arial"/>
                <w:b/>
                <w:bCs/>
                <w:color w:val="000000" w:themeColor="text1"/>
              </w:rPr>
              <w:t>Andina Compañía de Seguros de Vida S.A.</w:t>
            </w:r>
          </w:p>
        </w:tc>
        <w:tc>
          <w:tcPr>
            <w:tcW w:w="708" w:type="pct"/>
            <w:vAlign w:val="center"/>
          </w:tcPr>
          <w:p w14:paraId="2097FF5C" w14:textId="77777777" w:rsidR="00D64467" w:rsidRPr="000113B8" w:rsidRDefault="00D64467" w:rsidP="00EC7684">
            <w:pPr>
              <w:jc w:val="center"/>
              <w:rPr>
                <w:rFonts w:ascii="Garamond" w:hAnsi="Garamond" w:cs="Arial"/>
                <w:color w:val="000000" w:themeColor="text1"/>
              </w:rPr>
            </w:pPr>
            <w:r w:rsidRPr="000113B8">
              <w:rPr>
                <w:rFonts w:ascii="Garamond" w:hAnsi="Garamond" w:cs="Arial"/>
                <w:color w:val="000000" w:themeColor="text1"/>
              </w:rPr>
              <w:t>901880351-3</w:t>
            </w:r>
          </w:p>
        </w:tc>
        <w:tc>
          <w:tcPr>
            <w:tcW w:w="1098" w:type="pct"/>
            <w:vAlign w:val="center"/>
          </w:tcPr>
          <w:p w14:paraId="022C2526" w14:textId="77777777" w:rsidR="00D64467" w:rsidRPr="000113B8" w:rsidRDefault="00D64467" w:rsidP="00EC7684">
            <w:pPr>
              <w:jc w:val="center"/>
              <w:rPr>
                <w:rFonts w:ascii="Garamond" w:hAnsi="Garamond" w:cs="Arial"/>
                <w:color w:val="000000" w:themeColor="text1"/>
              </w:rPr>
            </w:pPr>
            <w:r w:rsidRPr="000113B8">
              <w:rPr>
                <w:rFonts w:ascii="Garamond" w:hAnsi="Garamond" w:cs="Arial"/>
                <w:color w:val="000000" w:themeColor="text1"/>
              </w:rPr>
              <w:t>Vida y exequial.</w:t>
            </w:r>
          </w:p>
        </w:tc>
        <w:tc>
          <w:tcPr>
            <w:tcW w:w="517" w:type="pct"/>
            <w:vAlign w:val="center"/>
          </w:tcPr>
          <w:p w14:paraId="7299C32C" w14:textId="77777777" w:rsidR="00D64467" w:rsidRPr="000113B8" w:rsidRDefault="00D64467" w:rsidP="00EC7684">
            <w:pPr>
              <w:jc w:val="center"/>
              <w:rPr>
                <w:rFonts w:ascii="Garamond" w:hAnsi="Garamond" w:cs="Arial"/>
                <w:color w:val="000000" w:themeColor="text1"/>
              </w:rPr>
            </w:pPr>
            <w:r w:rsidRPr="000113B8">
              <w:rPr>
                <w:rFonts w:ascii="Garamond" w:hAnsi="Garamond" w:cs="Arial"/>
                <w:color w:val="000000" w:themeColor="text1"/>
              </w:rPr>
              <w:t>Bogotá D.C.</w:t>
            </w:r>
          </w:p>
        </w:tc>
        <w:tc>
          <w:tcPr>
            <w:tcW w:w="1161" w:type="pct"/>
            <w:vAlign w:val="center"/>
          </w:tcPr>
          <w:p w14:paraId="0FE15AD0" w14:textId="77777777" w:rsidR="00D64467" w:rsidRPr="000113B8" w:rsidRDefault="00D64467" w:rsidP="00EC7684">
            <w:pPr>
              <w:jc w:val="center"/>
              <w:rPr>
                <w:rFonts w:ascii="Garamond" w:hAnsi="Garamond" w:cs="Arial"/>
                <w:noProof/>
                <w:color w:val="000000" w:themeColor="text1"/>
              </w:rPr>
            </w:pPr>
            <w:r w:rsidRPr="000113B8">
              <w:rPr>
                <w:rFonts w:ascii="Garamond" w:hAnsi="Garamond" w:cs="Arial"/>
                <w:noProof/>
                <w:color w:val="000000" w:themeColor="text1"/>
              </w:rPr>
              <w:drawing>
                <wp:inline distT="0" distB="0" distL="0" distR="0" wp14:anchorId="6995382A" wp14:editId="1C989527">
                  <wp:extent cx="1219200" cy="409575"/>
                  <wp:effectExtent l="0" t="0" r="0" b="9525"/>
                  <wp:docPr id="372545768"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219200" cy="409575"/>
                          </a:xfrm>
                          <a:prstGeom prst="rect">
                            <a:avLst/>
                          </a:prstGeom>
                          <a:noFill/>
                          <a:ln>
                            <a:noFill/>
                          </a:ln>
                        </pic:spPr>
                      </pic:pic>
                    </a:graphicData>
                  </a:graphic>
                </wp:inline>
              </w:drawing>
            </w:r>
          </w:p>
        </w:tc>
      </w:tr>
      <w:tr w:rsidR="009A7F8F" w:rsidRPr="000113B8" w14:paraId="400B3F5D" w14:textId="77777777" w:rsidTr="00EC7684">
        <w:trPr>
          <w:trHeight w:val="990"/>
          <w:jc w:val="center"/>
        </w:trPr>
        <w:tc>
          <w:tcPr>
            <w:tcW w:w="571" w:type="pct"/>
            <w:shd w:val="clear" w:color="auto" w:fill="F2F2F2"/>
            <w:vAlign w:val="center"/>
          </w:tcPr>
          <w:p w14:paraId="7A5D3F98" w14:textId="77777777" w:rsidR="00D64467" w:rsidRPr="000113B8" w:rsidRDefault="00D64467" w:rsidP="00EC7684">
            <w:pPr>
              <w:ind w:left="10"/>
              <w:jc w:val="center"/>
              <w:rPr>
                <w:rFonts w:ascii="Garamond" w:hAnsi="Garamond" w:cs="Arial"/>
                <w:b/>
                <w:bCs/>
                <w:color w:val="000000" w:themeColor="text1"/>
              </w:rPr>
            </w:pPr>
            <w:r w:rsidRPr="000113B8">
              <w:rPr>
                <w:rFonts w:ascii="Garamond" w:hAnsi="Garamond" w:cs="Arial"/>
                <w:b/>
                <w:bCs/>
                <w:color w:val="000000" w:themeColor="text1"/>
              </w:rPr>
              <w:lastRenderedPageBreak/>
              <w:t>3</w:t>
            </w:r>
          </w:p>
        </w:tc>
        <w:tc>
          <w:tcPr>
            <w:tcW w:w="945" w:type="pct"/>
            <w:shd w:val="clear" w:color="auto" w:fill="F2F2F2"/>
            <w:vAlign w:val="center"/>
          </w:tcPr>
          <w:p w14:paraId="665DACD1" w14:textId="77777777" w:rsidR="00D64467" w:rsidRPr="000113B8" w:rsidRDefault="00D64467" w:rsidP="00EC7684">
            <w:pPr>
              <w:ind w:left="10"/>
              <w:jc w:val="center"/>
              <w:rPr>
                <w:rFonts w:ascii="Garamond" w:hAnsi="Garamond" w:cs="Arial"/>
                <w:b/>
                <w:bCs/>
                <w:color w:val="000000" w:themeColor="text1"/>
              </w:rPr>
            </w:pPr>
            <w:proofErr w:type="spellStart"/>
            <w:r w:rsidRPr="000113B8">
              <w:rPr>
                <w:rFonts w:ascii="Garamond" w:hAnsi="Garamond" w:cs="Arial"/>
                <w:b/>
                <w:bCs/>
                <w:color w:val="000000" w:themeColor="text1"/>
              </w:rPr>
              <w:t>Asulado</w:t>
            </w:r>
            <w:proofErr w:type="spellEnd"/>
            <w:r w:rsidRPr="000113B8">
              <w:rPr>
                <w:rFonts w:ascii="Garamond" w:hAnsi="Garamond" w:cs="Arial"/>
                <w:b/>
                <w:bCs/>
                <w:color w:val="000000" w:themeColor="text1"/>
              </w:rPr>
              <w:t xml:space="preserve"> Seguros de Vida S.A.</w:t>
            </w:r>
          </w:p>
        </w:tc>
        <w:tc>
          <w:tcPr>
            <w:tcW w:w="708" w:type="pct"/>
            <w:shd w:val="clear" w:color="auto" w:fill="F2F2F2"/>
            <w:vAlign w:val="center"/>
          </w:tcPr>
          <w:p w14:paraId="32BBBED8" w14:textId="77777777" w:rsidR="00D64467" w:rsidRPr="000113B8" w:rsidRDefault="00D64467" w:rsidP="00EC7684">
            <w:pPr>
              <w:jc w:val="center"/>
              <w:rPr>
                <w:rFonts w:ascii="Garamond" w:hAnsi="Garamond" w:cs="Arial"/>
                <w:color w:val="000000" w:themeColor="text1"/>
              </w:rPr>
            </w:pPr>
            <w:r w:rsidRPr="000113B8">
              <w:rPr>
                <w:rFonts w:ascii="Garamond" w:hAnsi="Garamond" w:cs="Arial"/>
                <w:color w:val="000000" w:themeColor="text1"/>
              </w:rPr>
              <w:t>901660669-6</w:t>
            </w:r>
          </w:p>
        </w:tc>
        <w:tc>
          <w:tcPr>
            <w:tcW w:w="1098" w:type="pct"/>
            <w:shd w:val="clear" w:color="auto" w:fill="F2F2F2"/>
            <w:vAlign w:val="center"/>
          </w:tcPr>
          <w:p w14:paraId="6795340A" w14:textId="77777777" w:rsidR="00D64467" w:rsidRPr="000113B8" w:rsidRDefault="00D64467" w:rsidP="00EC7684">
            <w:pPr>
              <w:jc w:val="center"/>
              <w:rPr>
                <w:rFonts w:ascii="Garamond" w:hAnsi="Garamond" w:cs="Arial"/>
                <w:color w:val="000000" w:themeColor="text1"/>
              </w:rPr>
            </w:pPr>
            <w:r w:rsidRPr="000113B8">
              <w:rPr>
                <w:rFonts w:ascii="Garamond" w:hAnsi="Garamond" w:cs="Arial"/>
                <w:color w:val="000000" w:themeColor="text1"/>
              </w:rPr>
              <w:t>Renta vitalicia, previsional.</w:t>
            </w:r>
          </w:p>
        </w:tc>
        <w:tc>
          <w:tcPr>
            <w:tcW w:w="517" w:type="pct"/>
            <w:shd w:val="clear" w:color="auto" w:fill="F2F2F2"/>
            <w:vAlign w:val="center"/>
          </w:tcPr>
          <w:p w14:paraId="61FA6016" w14:textId="77777777" w:rsidR="00D64467" w:rsidRPr="000113B8" w:rsidRDefault="00D64467" w:rsidP="00EC7684">
            <w:pPr>
              <w:jc w:val="center"/>
              <w:rPr>
                <w:rFonts w:ascii="Garamond" w:hAnsi="Garamond" w:cs="Arial"/>
                <w:color w:val="000000" w:themeColor="text1"/>
              </w:rPr>
            </w:pPr>
            <w:r w:rsidRPr="000113B8">
              <w:rPr>
                <w:rFonts w:ascii="Garamond" w:hAnsi="Garamond" w:cs="Arial"/>
                <w:color w:val="000000" w:themeColor="text1"/>
              </w:rPr>
              <w:t>Medellín (Antioquia)</w:t>
            </w:r>
          </w:p>
        </w:tc>
        <w:tc>
          <w:tcPr>
            <w:tcW w:w="1161" w:type="pct"/>
            <w:shd w:val="clear" w:color="auto" w:fill="F2F2F2"/>
            <w:vAlign w:val="center"/>
          </w:tcPr>
          <w:p w14:paraId="5D4520E1" w14:textId="77777777" w:rsidR="00D64467" w:rsidRPr="000113B8" w:rsidRDefault="00D64467" w:rsidP="00EC7684">
            <w:pPr>
              <w:jc w:val="center"/>
              <w:rPr>
                <w:rFonts w:ascii="Garamond" w:hAnsi="Garamond" w:cs="Arial"/>
                <w:noProof/>
                <w:color w:val="000000" w:themeColor="text1"/>
              </w:rPr>
            </w:pPr>
            <w:r w:rsidRPr="000113B8">
              <w:rPr>
                <w:rFonts w:ascii="Garamond" w:hAnsi="Garamond" w:cs="Arial"/>
                <w:noProof/>
                <w:color w:val="000000" w:themeColor="text1"/>
              </w:rPr>
              <w:drawing>
                <wp:inline distT="0" distB="0" distL="0" distR="0" wp14:anchorId="249EB03E" wp14:editId="76DC0167">
                  <wp:extent cx="1123950" cy="228600"/>
                  <wp:effectExtent l="0" t="0" r="0" b="0"/>
                  <wp:docPr id="1086862321"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123950" cy="228600"/>
                          </a:xfrm>
                          <a:prstGeom prst="rect">
                            <a:avLst/>
                          </a:prstGeom>
                          <a:noFill/>
                          <a:ln>
                            <a:noFill/>
                          </a:ln>
                        </pic:spPr>
                      </pic:pic>
                    </a:graphicData>
                  </a:graphic>
                </wp:inline>
              </w:drawing>
            </w:r>
          </w:p>
        </w:tc>
      </w:tr>
      <w:tr w:rsidR="009A7F8F" w:rsidRPr="000113B8" w14:paraId="0225708D" w14:textId="77777777" w:rsidTr="00EC7684">
        <w:trPr>
          <w:trHeight w:val="990"/>
          <w:jc w:val="center"/>
        </w:trPr>
        <w:tc>
          <w:tcPr>
            <w:tcW w:w="571" w:type="pct"/>
            <w:vAlign w:val="center"/>
          </w:tcPr>
          <w:p w14:paraId="0A8AB4A5" w14:textId="77777777" w:rsidR="00D64467" w:rsidRPr="000113B8" w:rsidRDefault="00D64467" w:rsidP="00EC7684">
            <w:pPr>
              <w:ind w:left="10"/>
              <w:jc w:val="center"/>
              <w:rPr>
                <w:rFonts w:ascii="Garamond" w:hAnsi="Garamond" w:cs="Arial"/>
                <w:b/>
                <w:bCs/>
                <w:color w:val="000000" w:themeColor="text1"/>
              </w:rPr>
            </w:pPr>
            <w:r w:rsidRPr="000113B8">
              <w:rPr>
                <w:rFonts w:ascii="Garamond" w:hAnsi="Garamond" w:cs="Arial"/>
                <w:b/>
                <w:bCs/>
                <w:color w:val="000000" w:themeColor="text1"/>
              </w:rPr>
              <w:t>4</w:t>
            </w:r>
          </w:p>
        </w:tc>
        <w:tc>
          <w:tcPr>
            <w:tcW w:w="945" w:type="pct"/>
            <w:vAlign w:val="center"/>
            <w:hideMark/>
          </w:tcPr>
          <w:p w14:paraId="0640D9F6" w14:textId="77777777" w:rsidR="00D64467" w:rsidRPr="000113B8" w:rsidRDefault="00D64467" w:rsidP="00EC7684">
            <w:pPr>
              <w:ind w:left="10"/>
              <w:jc w:val="center"/>
              <w:rPr>
                <w:rFonts w:ascii="Garamond" w:hAnsi="Garamond" w:cs="Arial"/>
                <w:b/>
                <w:bCs/>
                <w:color w:val="000000" w:themeColor="text1"/>
              </w:rPr>
            </w:pPr>
            <w:r w:rsidRPr="000113B8">
              <w:rPr>
                <w:rFonts w:ascii="Garamond" w:hAnsi="Garamond" w:cs="Arial"/>
                <w:b/>
                <w:bCs/>
                <w:color w:val="000000" w:themeColor="text1"/>
              </w:rPr>
              <w:t>Axa Colpatria Seguros de Vida S.A.</w:t>
            </w:r>
          </w:p>
        </w:tc>
        <w:tc>
          <w:tcPr>
            <w:tcW w:w="708" w:type="pct"/>
            <w:vAlign w:val="center"/>
            <w:hideMark/>
          </w:tcPr>
          <w:p w14:paraId="00F678CE" w14:textId="77777777" w:rsidR="00D64467" w:rsidRPr="000113B8" w:rsidRDefault="00D64467" w:rsidP="00EC7684">
            <w:pPr>
              <w:jc w:val="center"/>
              <w:rPr>
                <w:rFonts w:ascii="Garamond" w:hAnsi="Garamond" w:cs="Arial"/>
                <w:color w:val="000000" w:themeColor="text1"/>
              </w:rPr>
            </w:pPr>
            <w:r w:rsidRPr="000113B8">
              <w:rPr>
                <w:rFonts w:ascii="Garamond" w:hAnsi="Garamond" w:cs="Arial"/>
                <w:color w:val="000000" w:themeColor="text1"/>
              </w:rPr>
              <w:t>860002183-9</w:t>
            </w:r>
          </w:p>
        </w:tc>
        <w:tc>
          <w:tcPr>
            <w:tcW w:w="1098" w:type="pct"/>
            <w:vAlign w:val="center"/>
          </w:tcPr>
          <w:p w14:paraId="0A85206D" w14:textId="77777777" w:rsidR="00D64467" w:rsidRPr="000113B8" w:rsidRDefault="00D64467" w:rsidP="00EC7684">
            <w:pPr>
              <w:jc w:val="center"/>
              <w:rPr>
                <w:rFonts w:ascii="Garamond" w:hAnsi="Garamond" w:cs="Arial"/>
                <w:color w:val="000000" w:themeColor="text1"/>
              </w:rPr>
            </w:pPr>
            <w:r w:rsidRPr="000113B8">
              <w:rPr>
                <w:rFonts w:ascii="Garamond" w:hAnsi="Garamond" w:cs="Arial"/>
                <w:color w:val="000000" w:themeColor="text1"/>
              </w:rPr>
              <w:t>Accidentes Personales, Salud, Vida Grupo, Daños Corporales Causados a las Personas en Accidentes de Tránsito, Enfermedades de Alto Costo, Desempleo, Colectivo de Vida, Educativo Vida Individual, Previsionales de Invalidez y Sobrevivencia.</w:t>
            </w:r>
          </w:p>
        </w:tc>
        <w:tc>
          <w:tcPr>
            <w:tcW w:w="517" w:type="pct"/>
            <w:vAlign w:val="center"/>
            <w:hideMark/>
          </w:tcPr>
          <w:p w14:paraId="3039A1CF" w14:textId="77777777" w:rsidR="00D64467" w:rsidRPr="000113B8" w:rsidRDefault="00D64467" w:rsidP="00EC7684">
            <w:pPr>
              <w:jc w:val="center"/>
              <w:rPr>
                <w:rFonts w:ascii="Garamond" w:hAnsi="Garamond" w:cs="Arial"/>
                <w:color w:val="000000" w:themeColor="text1"/>
              </w:rPr>
            </w:pPr>
            <w:r w:rsidRPr="000113B8">
              <w:rPr>
                <w:rFonts w:ascii="Garamond" w:hAnsi="Garamond" w:cs="Arial"/>
                <w:color w:val="000000" w:themeColor="text1"/>
              </w:rPr>
              <w:t>Bogotá D.C.</w:t>
            </w:r>
          </w:p>
        </w:tc>
        <w:tc>
          <w:tcPr>
            <w:tcW w:w="1161" w:type="pct"/>
            <w:vAlign w:val="center"/>
          </w:tcPr>
          <w:p w14:paraId="2E01479F" w14:textId="77777777" w:rsidR="00D64467" w:rsidRPr="000113B8" w:rsidRDefault="00D64467" w:rsidP="00EC7684">
            <w:pPr>
              <w:jc w:val="center"/>
              <w:rPr>
                <w:rFonts w:ascii="Garamond" w:hAnsi="Garamond" w:cs="Arial"/>
                <w:color w:val="000000" w:themeColor="text1"/>
              </w:rPr>
            </w:pPr>
            <w:r w:rsidRPr="000113B8">
              <w:rPr>
                <w:rFonts w:ascii="Garamond" w:hAnsi="Garamond" w:cs="Arial"/>
                <w:noProof/>
                <w:color w:val="000000" w:themeColor="text1"/>
              </w:rPr>
              <w:drawing>
                <wp:anchor distT="0" distB="0" distL="114300" distR="114300" simplePos="0" relativeHeight="487637504" behindDoc="0" locked="0" layoutInCell="1" allowOverlap="1" wp14:anchorId="712EC62C" wp14:editId="2A758CA2">
                  <wp:simplePos x="0" y="0"/>
                  <wp:positionH relativeFrom="column">
                    <wp:posOffset>390525</wp:posOffset>
                  </wp:positionH>
                  <wp:positionV relativeFrom="paragraph">
                    <wp:posOffset>1111250</wp:posOffset>
                  </wp:positionV>
                  <wp:extent cx="657225" cy="333375"/>
                  <wp:effectExtent l="0" t="0" r="9525" b="9525"/>
                  <wp:wrapSquare wrapText="bothSides"/>
                  <wp:docPr id="1975975170" name="Imagen 68" descr="Logotipo, nombre de la empres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1" descr="Logotipo, nombre de la empresa&#10;&#10;El contenido generado por IA puede ser incorrecto."/>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57225" cy="33337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9A7F8F" w:rsidRPr="000113B8" w14:paraId="45FBE416" w14:textId="77777777" w:rsidTr="00EC7684">
        <w:trPr>
          <w:trHeight w:val="85"/>
          <w:jc w:val="center"/>
        </w:trPr>
        <w:tc>
          <w:tcPr>
            <w:tcW w:w="571" w:type="pct"/>
            <w:shd w:val="clear" w:color="auto" w:fill="F2F2F2"/>
            <w:vAlign w:val="center"/>
          </w:tcPr>
          <w:p w14:paraId="715B7B84" w14:textId="77777777" w:rsidR="00D64467" w:rsidRPr="000113B8" w:rsidRDefault="00D64467" w:rsidP="00EC7684">
            <w:pPr>
              <w:jc w:val="center"/>
              <w:rPr>
                <w:rFonts w:ascii="Garamond" w:hAnsi="Garamond" w:cs="Arial"/>
                <w:b/>
                <w:bCs/>
                <w:color w:val="000000" w:themeColor="text1"/>
              </w:rPr>
            </w:pPr>
            <w:r w:rsidRPr="000113B8">
              <w:rPr>
                <w:rFonts w:ascii="Garamond" w:hAnsi="Garamond" w:cs="Arial"/>
                <w:b/>
                <w:bCs/>
                <w:color w:val="000000" w:themeColor="text1"/>
              </w:rPr>
              <w:t>5</w:t>
            </w:r>
          </w:p>
        </w:tc>
        <w:tc>
          <w:tcPr>
            <w:tcW w:w="945" w:type="pct"/>
            <w:shd w:val="clear" w:color="auto" w:fill="F2F2F2"/>
            <w:vAlign w:val="center"/>
          </w:tcPr>
          <w:p w14:paraId="5D9E788B" w14:textId="77777777" w:rsidR="00D64467" w:rsidRPr="000113B8" w:rsidRDefault="00D64467" w:rsidP="00EC7684">
            <w:pPr>
              <w:jc w:val="center"/>
              <w:rPr>
                <w:rFonts w:ascii="Garamond" w:hAnsi="Garamond" w:cs="Arial"/>
                <w:b/>
                <w:bCs/>
                <w:color w:val="000000" w:themeColor="text1"/>
              </w:rPr>
            </w:pPr>
            <w:r w:rsidRPr="000113B8">
              <w:rPr>
                <w:rFonts w:ascii="Garamond" w:hAnsi="Garamond" w:cs="Arial"/>
                <w:b/>
                <w:bCs/>
                <w:color w:val="000000" w:themeColor="text1"/>
              </w:rPr>
              <w:t>BBVA Seguros de Vida Colombia S.A.</w:t>
            </w:r>
          </w:p>
        </w:tc>
        <w:tc>
          <w:tcPr>
            <w:tcW w:w="708" w:type="pct"/>
            <w:shd w:val="clear" w:color="auto" w:fill="F2F2F2"/>
            <w:vAlign w:val="center"/>
          </w:tcPr>
          <w:p w14:paraId="23834FEE" w14:textId="77777777" w:rsidR="00D64467" w:rsidRPr="000113B8" w:rsidRDefault="00D64467" w:rsidP="00EC7684">
            <w:pPr>
              <w:jc w:val="center"/>
              <w:rPr>
                <w:rFonts w:ascii="Garamond" w:hAnsi="Garamond" w:cs="Arial"/>
                <w:color w:val="000000" w:themeColor="text1"/>
              </w:rPr>
            </w:pPr>
            <w:r w:rsidRPr="000113B8">
              <w:rPr>
                <w:rFonts w:ascii="Garamond" w:hAnsi="Garamond" w:cs="Arial"/>
                <w:color w:val="000000" w:themeColor="text1"/>
              </w:rPr>
              <w:t>800240882-0</w:t>
            </w:r>
          </w:p>
        </w:tc>
        <w:tc>
          <w:tcPr>
            <w:tcW w:w="1098" w:type="pct"/>
            <w:shd w:val="clear" w:color="auto" w:fill="F2F2F2"/>
            <w:vAlign w:val="center"/>
          </w:tcPr>
          <w:p w14:paraId="7F9E125B" w14:textId="77777777" w:rsidR="00D64467" w:rsidRPr="000113B8" w:rsidRDefault="00D64467" w:rsidP="00EC7684">
            <w:pPr>
              <w:jc w:val="center"/>
              <w:rPr>
                <w:rFonts w:ascii="Garamond" w:hAnsi="Garamond" w:cs="Arial"/>
                <w:color w:val="000000" w:themeColor="text1"/>
              </w:rPr>
            </w:pPr>
            <w:r w:rsidRPr="000113B8">
              <w:rPr>
                <w:rFonts w:ascii="Garamond" w:hAnsi="Garamond" w:cs="Arial"/>
                <w:color w:val="000000" w:themeColor="text1"/>
              </w:rPr>
              <w:t>Accidentes Personales, Vida Grupo, Vida Individual, Seguros Previsionales de Invalidez y Sobrevivencia, Pensiones Ley 100, Riesgos Laborales, Pensiones de Jubilación Ramo de Pensiones Voluntarias, Exequias, Seguro de Salud.</w:t>
            </w:r>
          </w:p>
        </w:tc>
        <w:tc>
          <w:tcPr>
            <w:tcW w:w="517" w:type="pct"/>
            <w:shd w:val="clear" w:color="auto" w:fill="F2F2F2"/>
            <w:vAlign w:val="center"/>
          </w:tcPr>
          <w:p w14:paraId="6E333666" w14:textId="77777777" w:rsidR="00D64467" w:rsidRPr="000113B8" w:rsidRDefault="00D64467" w:rsidP="00EC7684">
            <w:pPr>
              <w:jc w:val="center"/>
              <w:rPr>
                <w:rFonts w:ascii="Garamond" w:hAnsi="Garamond" w:cs="Arial"/>
                <w:color w:val="000000" w:themeColor="text1"/>
              </w:rPr>
            </w:pPr>
            <w:r w:rsidRPr="000113B8">
              <w:rPr>
                <w:rFonts w:ascii="Garamond" w:hAnsi="Garamond" w:cs="Arial"/>
                <w:color w:val="000000" w:themeColor="text1"/>
              </w:rPr>
              <w:t>Bogotá D.C.</w:t>
            </w:r>
          </w:p>
        </w:tc>
        <w:tc>
          <w:tcPr>
            <w:tcW w:w="1161" w:type="pct"/>
            <w:shd w:val="clear" w:color="auto" w:fill="F2F2F2"/>
            <w:vAlign w:val="center"/>
          </w:tcPr>
          <w:p w14:paraId="3DBAE54F" w14:textId="77777777" w:rsidR="00D64467" w:rsidRPr="000113B8" w:rsidRDefault="00D64467" w:rsidP="00EC7684">
            <w:pPr>
              <w:jc w:val="center"/>
              <w:rPr>
                <w:rFonts w:ascii="Garamond" w:hAnsi="Garamond" w:cs="Arial"/>
                <w:noProof/>
                <w:color w:val="000000" w:themeColor="text1"/>
              </w:rPr>
            </w:pPr>
            <w:r w:rsidRPr="000113B8">
              <w:rPr>
                <w:rFonts w:ascii="Garamond" w:hAnsi="Garamond" w:cs="Arial"/>
                <w:noProof/>
                <w:color w:val="000000" w:themeColor="text1"/>
              </w:rPr>
              <w:drawing>
                <wp:inline distT="0" distB="0" distL="0" distR="0" wp14:anchorId="7AA0E60F" wp14:editId="09A6CB08">
                  <wp:extent cx="990600" cy="428625"/>
                  <wp:effectExtent l="0" t="0" r="0" b="9525"/>
                  <wp:docPr id="2134830289" name="Imagen 41" descr="Icon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 descr="Icono&#10;&#10;El contenido generado por IA puede ser incorrecto."/>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90600" cy="428625"/>
                          </a:xfrm>
                          <a:prstGeom prst="rect">
                            <a:avLst/>
                          </a:prstGeom>
                          <a:noFill/>
                          <a:ln>
                            <a:noFill/>
                          </a:ln>
                        </pic:spPr>
                      </pic:pic>
                    </a:graphicData>
                  </a:graphic>
                </wp:inline>
              </w:drawing>
            </w:r>
          </w:p>
        </w:tc>
      </w:tr>
      <w:tr w:rsidR="009A7F8F" w:rsidRPr="000113B8" w14:paraId="2FE9127C" w14:textId="77777777" w:rsidTr="00EC7684">
        <w:trPr>
          <w:trHeight w:val="981"/>
          <w:jc w:val="center"/>
        </w:trPr>
        <w:tc>
          <w:tcPr>
            <w:tcW w:w="571" w:type="pct"/>
            <w:vAlign w:val="center"/>
          </w:tcPr>
          <w:p w14:paraId="6B69F868" w14:textId="77777777" w:rsidR="00D64467" w:rsidRPr="000113B8" w:rsidRDefault="00D64467" w:rsidP="00EC7684">
            <w:pPr>
              <w:jc w:val="center"/>
              <w:rPr>
                <w:rFonts w:ascii="Garamond" w:hAnsi="Garamond" w:cs="Arial"/>
                <w:b/>
                <w:bCs/>
                <w:color w:val="000000" w:themeColor="text1"/>
              </w:rPr>
            </w:pPr>
            <w:r w:rsidRPr="000113B8">
              <w:rPr>
                <w:rFonts w:ascii="Garamond" w:hAnsi="Garamond" w:cs="Arial"/>
                <w:b/>
                <w:bCs/>
                <w:color w:val="000000" w:themeColor="text1"/>
              </w:rPr>
              <w:t>6</w:t>
            </w:r>
          </w:p>
        </w:tc>
        <w:tc>
          <w:tcPr>
            <w:tcW w:w="945" w:type="pct"/>
            <w:vAlign w:val="center"/>
          </w:tcPr>
          <w:p w14:paraId="5B6B9482" w14:textId="77777777" w:rsidR="00D64467" w:rsidRPr="000113B8" w:rsidRDefault="00D64467" w:rsidP="00EC7684">
            <w:pPr>
              <w:jc w:val="center"/>
              <w:rPr>
                <w:rFonts w:ascii="Garamond" w:hAnsi="Garamond" w:cs="Arial"/>
                <w:b/>
                <w:bCs/>
                <w:color w:val="000000" w:themeColor="text1"/>
              </w:rPr>
            </w:pPr>
            <w:r w:rsidRPr="000113B8">
              <w:rPr>
                <w:rFonts w:ascii="Garamond" w:hAnsi="Garamond" w:cs="Arial"/>
                <w:b/>
                <w:bCs/>
                <w:color w:val="000000" w:themeColor="text1"/>
              </w:rPr>
              <w:t>BMI Colombia Compañía de Seguros De Vida S.A.</w:t>
            </w:r>
          </w:p>
        </w:tc>
        <w:tc>
          <w:tcPr>
            <w:tcW w:w="708" w:type="pct"/>
            <w:vAlign w:val="center"/>
          </w:tcPr>
          <w:p w14:paraId="492D1A44" w14:textId="77777777" w:rsidR="00D64467" w:rsidRPr="000113B8" w:rsidRDefault="00D64467" w:rsidP="00EC7684">
            <w:pPr>
              <w:jc w:val="center"/>
              <w:rPr>
                <w:rFonts w:ascii="Garamond" w:hAnsi="Garamond" w:cs="Arial"/>
                <w:color w:val="000000" w:themeColor="text1"/>
              </w:rPr>
            </w:pPr>
            <w:r w:rsidRPr="000113B8">
              <w:rPr>
                <w:rFonts w:ascii="Garamond" w:hAnsi="Garamond" w:cs="Arial"/>
                <w:color w:val="000000" w:themeColor="text1"/>
              </w:rPr>
              <w:t>901061386-7</w:t>
            </w:r>
          </w:p>
        </w:tc>
        <w:tc>
          <w:tcPr>
            <w:tcW w:w="1098" w:type="pct"/>
            <w:vAlign w:val="center"/>
          </w:tcPr>
          <w:p w14:paraId="625570C7" w14:textId="77777777" w:rsidR="00D64467" w:rsidRPr="000113B8" w:rsidRDefault="00D64467" w:rsidP="00EC7684">
            <w:pPr>
              <w:jc w:val="center"/>
              <w:rPr>
                <w:rFonts w:ascii="Garamond" w:hAnsi="Garamond" w:cs="Arial"/>
                <w:color w:val="000000" w:themeColor="text1"/>
              </w:rPr>
            </w:pPr>
            <w:r w:rsidRPr="000113B8">
              <w:rPr>
                <w:rFonts w:ascii="Garamond" w:hAnsi="Garamond" w:cs="Arial"/>
                <w:color w:val="000000" w:themeColor="text1"/>
                <w:shd w:val="clear" w:color="auto" w:fill="FCFCFC"/>
              </w:rPr>
              <w:t>Vida Individual, Vida Grupo y Salud.</w:t>
            </w:r>
          </w:p>
        </w:tc>
        <w:tc>
          <w:tcPr>
            <w:tcW w:w="517" w:type="pct"/>
            <w:vAlign w:val="center"/>
          </w:tcPr>
          <w:p w14:paraId="02D4667A" w14:textId="77777777" w:rsidR="00D64467" w:rsidRPr="000113B8" w:rsidRDefault="00D64467" w:rsidP="00EC7684">
            <w:pPr>
              <w:jc w:val="center"/>
              <w:rPr>
                <w:rFonts w:ascii="Garamond" w:hAnsi="Garamond" w:cs="Arial"/>
                <w:color w:val="000000" w:themeColor="text1"/>
              </w:rPr>
            </w:pPr>
            <w:r w:rsidRPr="000113B8">
              <w:rPr>
                <w:rFonts w:ascii="Garamond" w:hAnsi="Garamond" w:cs="Arial"/>
                <w:color w:val="000000" w:themeColor="text1"/>
              </w:rPr>
              <w:t>Bogotá D.C.</w:t>
            </w:r>
          </w:p>
        </w:tc>
        <w:tc>
          <w:tcPr>
            <w:tcW w:w="1161" w:type="pct"/>
            <w:vAlign w:val="center"/>
          </w:tcPr>
          <w:p w14:paraId="296C042E" w14:textId="77777777" w:rsidR="00D64467" w:rsidRPr="000113B8" w:rsidRDefault="00D64467" w:rsidP="00EC7684">
            <w:pPr>
              <w:jc w:val="center"/>
              <w:rPr>
                <w:rFonts w:ascii="Garamond" w:hAnsi="Garamond" w:cs="Arial"/>
                <w:noProof/>
                <w:color w:val="000000" w:themeColor="text1"/>
              </w:rPr>
            </w:pPr>
            <w:r w:rsidRPr="000113B8">
              <w:rPr>
                <w:rFonts w:ascii="Garamond" w:hAnsi="Garamond" w:cs="Arial"/>
                <w:noProof/>
                <w:color w:val="000000" w:themeColor="text1"/>
              </w:rPr>
              <w:drawing>
                <wp:inline distT="0" distB="0" distL="0" distR="0" wp14:anchorId="5EC7B5DD" wp14:editId="2E98D5D3">
                  <wp:extent cx="742950" cy="323850"/>
                  <wp:effectExtent l="0" t="0" r="0" b="0"/>
                  <wp:docPr id="353568593"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742950" cy="323850"/>
                          </a:xfrm>
                          <a:prstGeom prst="rect">
                            <a:avLst/>
                          </a:prstGeom>
                          <a:noFill/>
                          <a:ln>
                            <a:noFill/>
                          </a:ln>
                        </pic:spPr>
                      </pic:pic>
                    </a:graphicData>
                  </a:graphic>
                </wp:inline>
              </w:drawing>
            </w:r>
          </w:p>
        </w:tc>
      </w:tr>
      <w:tr w:rsidR="009A7F8F" w:rsidRPr="000113B8" w14:paraId="1264FE16" w14:textId="77777777" w:rsidTr="00EC7684">
        <w:trPr>
          <w:trHeight w:val="839"/>
          <w:jc w:val="center"/>
        </w:trPr>
        <w:tc>
          <w:tcPr>
            <w:tcW w:w="571" w:type="pct"/>
            <w:shd w:val="clear" w:color="auto" w:fill="F2F2F2"/>
            <w:vAlign w:val="center"/>
          </w:tcPr>
          <w:p w14:paraId="1B76EB40" w14:textId="77777777" w:rsidR="00D64467" w:rsidRPr="000113B8" w:rsidRDefault="00D64467" w:rsidP="00EC7684">
            <w:pPr>
              <w:jc w:val="center"/>
              <w:rPr>
                <w:rFonts w:ascii="Garamond" w:hAnsi="Garamond" w:cs="Arial"/>
                <w:b/>
                <w:bCs/>
                <w:color w:val="000000" w:themeColor="text1"/>
              </w:rPr>
            </w:pPr>
            <w:r w:rsidRPr="000113B8">
              <w:rPr>
                <w:rFonts w:ascii="Garamond" w:hAnsi="Garamond" w:cs="Arial"/>
                <w:b/>
                <w:bCs/>
                <w:color w:val="000000" w:themeColor="text1"/>
              </w:rPr>
              <w:t>7</w:t>
            </w:r>
          </w:p>
        </w:tc>
        <w:tc>
          <w:tcPr>
            <w:tcW w:w="945" w:type="pct"/>
            <w:shd w:val="clear" w:color="auto" w:fill="F2F2F2"/>
            <w:vAlign w:val="center"/>
          </w:tcPr>
          <w:p w14:paraId="3C2BC5AD" w14:textId="77777777" w:rsidR="00D64467" w:rsidRPr="000113B8" w:rsidRDefault="00D64467" w:rsidP="00EC7684">
            <w:pPr>
              <w:jc w:val="center"/>
              <w:rPr>
                <w:rFonts w:ascii="Garamond" w:hAnsi="Garamond" w:cs="Arial"/>
                <w:b/>
                <w:bCs/>
                <w:color w:val="000000" w:themeColor="text1"/>
              </w:rPr>
            </w:pPr>
            <w:r w:rsidRPr="000113B8">
              <w:rPr>
                <w:rFonts w:ascii="Garamond" w:hAnsi="Garamond" w:cs="Arial"/>
                <w:b/>
                <w:bCs/>
                <w:color w:val="000000" w:themeColor="text1"/>
              </w:rPr>
              <w:t>Colmena Seguros Riesgos Laborales S.A.</w:t>
            </w:r>
          </w:p>
        </w:tc>
        <w:tc>
          <w:tcPr>
            <w:tcW w:w="708" w:type="pct"/>
            <w:shd w:val="clear" w:color="auto" w:fill="F2F2F2"/>
            <w:vAlign w:val="center"/>
          </w:tcPr>
          <w:p w14:paraId="764B4600" w14:textId="77777777" w:rsidR="00D64467" w:rsidRPr="000113B8" w:rsidRDefault="00D64467" w:rsidP="00EC7684">
            <w:pPr>
              <w:jc w:val="center"/>
              <w:rPr>
                <w:rFonts w:ascii="Garamond" w:hAnsi="Garamond" w:cs="Arial"/>
                <w:color w:val="000000" w:themeColor="text1"/>
              </w:rPr>
            </w:pPr>
            <w:r w:rsidRPr="000113B8">
              <w:rPr>
                <w:rFonts w:ascii="Garamond" w:hAnsi="Garamond" w:cs="Arial"/>
                <w:color w:val="000000" w:themeColor="text1"/>
              </w:rPr>
              <w:t>800226175-3</w:t>
            </w:r>
          </w:p>
        </w:tc>
        <w:tc>
          <w:tcPr>
            <w:tcW w:w="1098" w:type="pct"/>
            <w:shd w:val="clear" w:color="auto" w:fill="F2F2F2"/>
            <w:vAlign w:val="center"/>
          </w:tcPr>
          <w:p w14:paraId="40C96B21" w14:textId="77777777" w:rsidR="00D64467" w:rsidRPr="000113B8" w:rsidRDefault="00D64467" w:rsidP="00EC7684">
            <w:pPr>
              <w:jc w:val="center"/>
              <w:rPr>
                <w:rFonts w:ascii="Garamond" w:hAnsi="Garamond" w:cs="Arial"/>
                <w:color w:val="000000" w:themeColor="text1"/>
              </w:rPr>
            </w:pPr>
            <w:r w:rsidRPr="000113B8">
              <w:rPr>
                <w:rFonts w:ascii="Garamond" w:hAnsi="Garamond" w:cs="Arial"/>
                <w:color w:val="000000" w:themeColor="text1"/>
              </w:rPr>
              <w:t>Vida Grupo, Salud, Exequias, Accidentes Personales.</w:t>
            </w:r>
          </w:p>
        </w:tc>
        <w:tc>
          <w:tcPr>
            <w:tcW w:w="517" w:type="pct"/>
            <w:shd w:val="clear" w:color="auto" w:fill="F2F2F2"/>
            <w:vAlign w:val="center"/>
          </w:tcPr>
          <w:p w14:paraId="0A1FB805" w14:textId="77777777" w:rsidR="00D64467" w:rsidRPr="000113B8" w:rsidRDefault="00D64467" w:rsidP="00EC7684">
            <w:pPr>
              <w:jc w:val="center"/>
              <w:rPr>
                <w:rFonts w:ascii="Garamond" w:hAnsi="Garamond" w:cs="Arial"/>
                <w:color w:val="000000" w:themeColor="text1"/>
              </w:rPr>
            </w:pPr>
            <w:r w:rsidRPr="000113B8">
              <w:rPr>
                <w:rFonts w:ascii="Garamond" w:hAnsi="Garamond" w:cs="Arial"/>
                <w:color w:val="000000" w:themeColor="text1"/>
              </w:rPr>
              <w:t>Bogotá D.C.</w:t>
            </w:r>
          </w:p>
        </w:tc>
        <w:tc>
          <w:tcPr>
            <w:tcW w:w="1161" w:type="pct"/>
            <w:shd w:val="clear" w:color="auto" w:fill="F2F2F2"/>
            <w:vAlign w:val="center"/>
          </w:tcPr>
          <w:p w14:paraId="7DE341EC" w14:textId="77777777" w:rsidR="00D64467" w:rsidRPr="000113B8" w:rsidRDefault="00D64467" w:rsidP="00EC7684">
            <w:pPr>
              <w:jc w:val="center"/>
              <w:rPr>
                <w:rFonts w:ascii="Garamond" w:hAnsi="Garamond" w:cs="Arial"/>
                <w:noProof/>
                <w:color w:val="000000" w:themeColor="text1"/>
              </w:rPr>
            </w:pPr>
            <w:r w:rsidRPr="000113B8">
              <w:rPr>
                <w:rFonts w:ascii="Garamond" w:hAnsi="Garamond" w:cs="Arial"/>
                <w:noProof/>
                <w:color w:val="000000" w:themeColor="text1"/>
              </w:rPr>
              <w:drawing>
                <wp:inline distT="0" distB="0" distL="0" distR="0" wp14:anchorId="384FC0C4" wp14:editId="0829EFED">
                  <wp:extent cx="495300" cy="400050"/>
                  <wp:effectExtent l="0" t="0" r="0" b="0"/>
                  <wp:docPr id="601832528" name="Imagen 39" descr="Logotip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 descr="Logotipo&#10;&#10;El contenido generado por IA puede ser incorrecto."/>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95300" cy="400050"/>
                          </a:xfrm>
                          <a:prstGeom prst="rect">
                            <a:avLst/>
                          </a:prstGeom>
                          <a:noFill/>
                          <a:ln>
                            <a:noFill/>
                          </a:ln>
                        </pic:spPr>
                      </pic:pic>
                    </a:graphicData>
                  </a:graphic>
                </wp:inline>
              </w:drawing>
            </w:r>
          </w:p>
        </w:tc>
      </w:tr>
      <w:tr w:rsidR="009A7F8F" w:rsidRPr="000113B8" w14:paraId="394FF205" w14:textId="77777777" w:rsidTr="00EC7684">
        <w:trPr>
          <w:trHeight w:val="1368"/>
          <w:jc w:val="center"/>
        </w:trPr>
        <w:tc>
          <w:tcPr>
            <w:tcW w:w="571" w:type="pct"/>
            <w:vAlign w:val="center"/>
          </w:tcPr>
          <w:p w14:paraId="47745581" w14:textId="77777777" w:rsidR="00D64467" w:rsidRPr="000113B8" w:rsidRDefault="00D64467" w:rsidP="00EC7684">
            <w:pPr>
              <w:jc w:val="center"/>
              <w:rPr>
                <w:rFonts w:ascii="Garamond" w:hAnsi="Garamond" w:cs="Arial"/>
                <w:b/>
                <w:bCs/>
                <w:color w:val="000000" w:themeColor="text1"/>
              </w:rPr>
            </w:pPr>
            <w:r w:rsidRPr="000113B8">
              <w:rPr>
                <w:rFonts w:ascii="Garamond" w:hAnsi="Garamond" w:cs="Arial"/>
                <w:b/>
                <w:bCs/>
                <w:color w:val="000000" w:themeColor="text1"/>
              </w:rPr>
              <w:t>8</w:t>
            </w:r>
          </w:p>
        </w:tc>
        <w:tc>
          <w:tcPr>
            <w:tcW w:w="945" w:type="pct"/>
            <w:vAlign w:val="center"/>
            <w:hideMark/>
          </w:tcPr>
          <w:p w14:paraId="55010297" w14:textId="77777777" w:rsidR="00D64467" w:rsidRPr="000113B8" w:rsidRDefault="00D64467" w:rsidP="00EC7684">
            <w:pPr>
              <w:jc w:val="center"/>
              <w:rPr>
                <w:rFonts w:ascii="Garamond" w:hAnsi="Garamond" w:cs="Arial"/>
                <w:b/>
                <w:bCs/>
                <w:color w:val="000000" w:themeColor="text1"/>
              </w:rPr>
            </w:pPr>
            <w:r w:rsidRPr="000113B8">
              <w:rPr>
                <w:rFonts w:ascii="Garamond" w:hAnsi="Garamond" w:cs="Arial"/>
                <w:b/>
                <w:bCs/>
                <w:color w:val="000000" w:themeColor="text1"/>
              </w:rPr>
              <w:t>Compañía de Seguros Bolívar S.A.</w:t>
            </w:r>
          </w:p>
        </w:tc>
        <w:tc>
          <w:tcPr>
            <w:tcW w:w="708" w:type="pct"/>
            <w:vAlign w:val="center"/>
            <w:hideMark/>
          </w:tcPr>
          <w:p w14:paraId="22CD34B2" w14:textId="77777777" w:rsidR="00D64467" w:rsidRPr="000113B8" w:rsidRDefault="00D64467" w:rsidP="00EC7684">
            <w:pPr>
              <w:jc w:val="center"/>
              <w:rPr>
                <w:rFonts w:ascii="Garamond" w:hAnsi="Garamond" w:cs="Arial"/>
                <w:color w:val="000000" w:themeColor="text1"/>
              </w:rPr>
            </w:pPr>
            <w:r w:rsidRPr="000113B8">
              <w:rPr>
                <w:rFonts w:ascii="Garamond" w:hAnsi="Garamond" w:cs="Arial"/>
                <w:color w:val="000000" w:themeColor="text1"/>
              </w:rPr>
              <w:t>860002503-2</w:t>
            </w:r>
          </w:p>
        </w:tc>
        <w:tc>
          <w:tcPr>
            <w:tcW w:w="1098" w:type="pct"/>
            <w:vAlign w:val="center"/>
          </w:tcPr>
          <w:p w14:paraId="356B6256" w14:textId="77777777" w:rsidR="00D64467" w:rsidRPr="000113B8" w:rsidRDefault="00D64467" w:rsidP="00EC7684">
            <w:pPr>
              <w:jc w:val="center"/>
              <w:rPr>
                <w:rFonts w:ascii="Garamond" w:hAnsi="Garamond" w:cs="Arial"/>
                <w:color w:val="000000" w:themeColor="text1"/>
              </w:rPr>
            </w:pPr>
            <w:r w:rsidRPr="000113B8">
              <w:rPr>
                <w:rFonts w:ascii="Garamond" w:hAnsi="Garamond" w:cs="Arial"/>
                <w:color w:val="000000" w:themeColor="text1"/>
              </w:rPr>
              <w:t xml:space="preserve">Accidentes Personales, Colectivo de Vida, Vida Grupo, Educativo, </w:t>
            </w:r>
            <w:r w:rsidRPr="000113B8">
              <w:rPr>
                <w:rFonts w:ascii="Garamond" w:hAnsi="Garamond" w:cs="Arial"/>
                <w:color w:val="000000" w:themeColor="text1"/>
              </w:rPr>
              <w:lastRenderedPageBreak/>
              <w:t>Pensionales de Jubilación, Salud, Vida Individual, Seguros Provisionales de Invalidez y Sobrevivencia, Pensionales Ley 100, Riesgos Profesionales, Pensiones con Conmutación Pensional.</w:t>
            </w:r>
          </w:p>
        </w:tc>
        <w:tc>
          <w:tcPr>
            <w:tcW w:w="517" w:type="pct"/>
            <w:vAlign w:val="center"/>
            <w:hideMark/>
          </w:tcPr>
          <w:p w14:paraId="73A856A1" w14:textId="77777777" w:rsidR="00D64467" w:rsidRPr="000113B8" w:rsidRDefault="00D64467" w:rsidP="00EC7684">
            <w:pPr>
              <w:jc w:val="center"/>
              <w:rPr>
                <w:rFonts w:ascii="Garamond" w:hAnsi="Garamond" w:cs="Arial"/>
                <w:color w:val="000000" w:themeColor="text1"/>
              </w:rPr>
            </w:pPr>
            <w:r w:rsidRPr="000113B8">
              <w:rPr>
                <w:rFonts w:ascii="Garamond" w:hAnsi="Garamond" w:cs="Arial"/>
                <w:color w:val="000000" w:themeColor="text1"/>
              </w:rPr>
              <w:lastRenderedPageBreak/>
              <w:t>Bogotá D.C.</w:t>
            </w:r>
          </w:p>
        </w:tc>
        <w:tc>
          <w:tcPr>
            <w:tcW w:w="1161" w:type="pct"/>
            <w:vAlign w:val="center"/>
          </w:tcPr>
          <w:p w14:paraId="1C105314" w14:textId="77777777" w:rsidR="00D64467" w:rsidRPr="000113B8" w:rsidRDefault="00D64467" w:rsidP="00EC7684">
            <w:pPr>
              <w:jc w:val="center"/>
              <w:rPr>
                <w:rFonts w:ascii="Garamond" w:hAnsi="Garamond" w:cs="Arial"/>
                <w:color w:val="000000" w:themeColor="text1"/>
              </w:rPr>
            </w:pPr>
            <w:r w:rsidRPr="000113B8">
              <w:rPr>
                <w:rFonts w:ascii="Garamond" w:hAnsi="Garamond" w:cs="Arial"/>
                <w:noProof/>
                <w:color w:val="000000" w:themeColor="text1"/>
              </w:rPr>
              <w:drawing>
                <wp:inline distT="0" distB="0" distL="0" distR="0" wp14:anchorId="1455D6E3" wp14:editId="3C218826">
                  <wp:extent cx="1238250" cy="371475"/>
                  <wp:effectExtent l="0" t="0" r="0" b="9525"/>
                  <wp:docPr id="730296119" name="Imagen 38" descr="Logotipo, nombre de la empres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descr="Logotipo, nombre de la empresa&#10;&#10;El contenido generado por IA puede ser incorrecto."/>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238250" cy="371475"/>
                          </a:xfrm>
                          <a:prstGeom prst="rect">
                            <a:avLst/>
                          </a:prstGeom>
                          <a:noFill/>
                          <a:ln>
                            <a:noFill/>
                          </a:ln>
                        </pic:spPr>
                      </pic:pic>
                    </a:graphicData>
                  </a:graphic>
                </wp:inline>
              </w:drawing>
            </w:r>
          </w:p>
        </w:tc>
      </w:tr>
      <w:tr w:rsidR="009A7F8F" w:rsidRPr="000113B8" w14:paraId="7E858726" w14:textId="77777777" w:rsidTr="00EC7684">
        <w:trPr>
          <w:trHeight w:val="70"/>
          <w:jc w:val="center"/>
        </w:trPr>
        <w:tc>
          <w:tcPr>
            <w:tcW w:w="571" w:type="pct"/>
            <w:shd w:val="clear" w:color="auto" w:fill="F2F2F2"/>
            <w:vAlign w:val="center"/>
          </w:tcPr>
          <w:p w14:paraId="4B0475CB" w14:textId="77777777" w:rsidR="00D64467" w:rsidRPr="000113B8" w:rsidRDefault="00D64467" w:rsidP="00EC7684">
            <w:pPr>
              <w:jc w:val="center"/>
              <w:rPr>
                <w:rFonts w:ascii="Garamond" w:hAnsi="Garamond" w:cs="Arial"/>
                <w:b/>
                <w:bCs/>
                <w:color w:val="000000" w:themeColor="text1"/>
              </w:rPr>
            </w:pPr>
            <w:r w:rsidRPr="000113B8">
              <w:rPr>
                <w:rFonts w:ascii="Garamond" w:hAnsi="Garamond" w:cs="Arial"/>
                <w:b/>
                <w:bCs/>
                <w:color w:val="000000" w:themeColor="text1"/>
              </w:rPr>
              <w:t>9</w:t>
            </w:r>
          </w:p>
        </w:tc>
        <w:tc>
          <w:tcPr>
            <w:tcW w:w="945" w:type="pct"/>
            <w:shd w:val="clear" w:color="auto" w:fill="F2F2F2"/>
            <w:vAlign w:val="center"/>
          </w:tcPr>
          <w:p w14:paraId="0527CDA2" w14:textId="77777777" w:rsidR="00D64467" w:rsidRPr="000113B8" w:rsidRDefault="00D64467" w:rsidP="00EC7684">
            <w:pPr>
              <w:jc w:val="center"/>
              <w:rPr>
                <w:rFonts w:ascii="Garamond" w:hAnsi="Garamond" w:cs="Arial"/>
                <w:b/>
                <w:bCs/>
                <w:color w:val="000000" w:themeColor="text1"/>
              </w:rPr>
            </w:pPr>
            <w:r w:rsidRPr="000113B8">
              <w:rPr>
                <w:rFonts w:ascii="Garamond" w:hAnsi="Garamond" w:cs="Arial"/>
                <w:b/>
                <w:bCs/>
                <w:color w:val="000000" w:themeColor="text1"/>
              </w:rPr>
              <w:t>Compañía de Seguros Colsanitas S.A.</w:t>
            </w:r>
          </w:p>
        </w:tc>
        <w:tc>
          <w:tcPr>
            <w:tcW w:w="708" w:type="pct"/>
            <w:shd w:val="clear" w:color="auto" w:fill="F2F2F2"/>
            <w:vAlign w:val="center"/>
          </w:tcPr>
          <w:p w14:paraId="63086E01" w14:textId="77777777" w:rsidR="00D64467" w:rsidRPr="000113B8" w:rsidRDefault="00D64467" w:rsidP="00EC7684">
            <w:pPr>
              <w:jc w:val="center"/>
              <w:rPr>
                <w:rFonts w:ascii="Garamond" w:hAnsi="Garamond" w:cs="Arial"/>
                <w:color w:val="000000" w:themeColor="text1"/>
              </w:rPr>
            </w:pPr>
            <w:r w:rsidRPr="000113B8">
              <w:rPr>
                <w:rFonts w:ascii="Garamond" w:hAnsi="Garamond" w:cs="Arial"/>
                <w:color w:val="000000" w:themeColor="text1"/>
              </w:rPr>
              <w:t>901469580-2</w:t>
            </w:r>
          </w:p>
        </w:tc>
        <w:tc>
          <w:tcPr>
            <w:tcW w:w="1098" w:type="pct"/>
            <w:shd w:val="clear" w:color="auto" w:fill="F2F2F2"/>
            <w:vAlign w:val="center"/>
          </w:tcPr>
          <w:p w14:paraId="5571185E" w14:textId="77777777" w:rsidR="00D64467" w:rsidRPr="000113B8" w:rsidRDefault="00D64467" w:rsidP="00EC7684">
            <w:pPr>
              <w:jc w:val="center"/>
              <w:rPr>
                <w:rFonts w:ascii="Garamond" w:hAnsi="Garamond" w:cs="Arial"/>
                <w:color w:val="000000" w:themeColor="text1"/>
              </w:rPr>
            </w:pPr>
            <w:proofErr w:type="spellStart"/>
            <w:r w:rsidRPr="000113B8">
              <w:rPr>
                <w:rFonts w:ascii="Garamond" w:hAnsi="Garamond" w:cs="Arial"/>
                <w:color w:val="000000" w:themeColor="text1"/>
              </w:rPr>
              <w:t>Arl</w:t>
            </w:r>
            <w:proofErr w:type="spellEnd"/>
            <w:r w:rsidRPr="000113B8">
              <w:rPr>
                <w:rFonts w:ascii="Garamond" w:hAnsi="Garamond" w:cs="Arial"/>
                <w:color w:val="000000" w:themeColor="text1"/>
              </w:rPr>
              <w:t>, Vida grupo, Accidentes Personales, Salud.</w:t>
            </w:r>
          </w:p>
        </w:tc>
        <w:tc>
          <w:tcPr>
            <w:tcW w:w="517" w:type="pct"/>
            <w:shd w:val="clear" w:color="auto" w:fill="F2F2F2"/>
            <w:vAlign w:val="center"/>
          </w:tcPr>
          <w:p w14:paraId="6EC0BF96" w14:textId="77777777" w:rsidR="00D64467" w:rsidRPr="000113B8" w:rsidRDefault="00D64467" w:rsidP="00EC7684">
            <w:pPr>
              <w:jc w:val="center"/>
              <w:rPr>
                <w:rFonts w:ascii="Garamond" w:hAnsi="Garamond" w:cs="Arial"/>
                <w:color w:val="000000" w:themeColor="text1"/>
              </w:rPr>
            </w:pPr>
            <w:r w:rsidRPr="000113B8">
              <w:rPr>
                <w:rFonts w:ascii="Garamond" w:hAnsi="Garamond" w:cs="Arial"/>
                <w:color w:val="000000" w:themeColor="text1"/>
              </w:rPr>
              <w:t>Bogotá D.C.</w:t>
            </w:r>
          </w:p>
        </w:tc>
        <w:tc>
          <w:tcPr>
            <w:tcW w:w="1161" w:type="pct"/>
            <w:shd w:val="clear" w:color="auto" w:fill="F2F2F2"/>
            <w:vAlign w:val="center"/>
          </w:tcPr>
          <w:p w14:paraId="7382DDD7" w14:textId="77777777" w:rsidR="00D64467" w:rsidRPr="000113B8" w:rsidRDefault="00D64467" w:rsidP="00EC7684">
            <w:pPr>
              <w:jc w:val="center"/>
              <w:rPr>
                <w:rFonts w:ascii="Garamond" w:hAnsi="Garamond" w:cs="Arial"/>
                <w:noProof/>
                <w:color w:val="000000" w:themeColor="text1"/>
              </w:rPr>
            </w:pPr>
            <w:r w:rsidRPr="000113B8">
              <w:rPr>
                <w:rFonts w:ascii="Garamond" w:hAnsi="Garamond" w:cs="Arial"/>
                <w:noProof/>
                <w:color w:val="000000" w:themeColor="text1"/>
              </w:rPr>
              <w:drawing>
                <wp:inline distT="0" distB="0" distL="0" distR="0" wp14:anchorId="6D70F0CB" wp14:editId="20D29788">
                  <wp:extent cx="1095375" cy="342900"/>
                  <wp:effectExtent l="0" t="0" r="9525" b="0"/>
                  <wp:docPr id="1467588089"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95375" cy="342900"/>
                          </a:xfrm>
                          <a:prstGeom prst="rect">
                            <a:avLst/>
                          </a:prstGeom>
                          <a:noFill/>
                          <a:ln>
                            <a:noFill/>
                          </a:ln>
                        </pic:spPr>
                      </pic:pic>
                    </a:graphicData>
                  </a:graphic>
                </wp:inline>
              </w:drawing>
            </w:r>
          </w:p>
        </w:tc>
      </w:tr>
      <w:tr w:rsidR="009A7F8F" w:rsidRPr="000113B8" w14:paraId="5E8CDCF3" w14:textId="77777777" w:rsidTr="00EC7684">
        <w:trPr>
          <w:trHeight w:val="1605"/>
          <w:jc w:val="center"/>
        </w:trPr>
        <w:tc>
          <w:tcPr>
            <w:tcW w:w="571" w:type="pct"/>
            <w:vAlign w:val="center"/>
          </w:tcPr>
          <w:p w14:paraId="639EBB5B" w14:textId="77777777" w:rsidR="00D64467" w:rsidRPr="000113B8" w:rsidRDefault="00D64467" w:rsidP="00EC7684">
            <w:pPr>
              <w:jc w:val="center"/>
              <w:rPr>
                <w:rFonts w:ascii="Garamond" w:hAnsi="Garamond" w:cs="Arial"/>
                <w:b/>
                <w:bCs/>
                <w:color w:val="000000" w:themeColor="text1"/>
              </w:rPr>
            </w:pPr>
            <w:r w:rsidRPr="000113B8">
              <w:rPr>
                <w:rFonts w:ascii="Garamond" w:hAnsi="Garamond" w:cs="Arial"/>
                <w:b/>
                <w:bCs/>
                <w:color w:val="000000" w:themeColor="text1"/>
              </w:rPr>
              <w:t>10</w:t>
            </w:r>
          </w:p>
        </w:tc>
        <w:tc>
          <w:tcPr>
            <w:tcW w:w="945" w:type="pct"/>
            <w:vAlign w:val="center"/>
            <w:hideMark/>
          </w:tcPr>
          <w:p w14:paraId="5B868A51" w14:textId="77777777" w:rsidR="00D64467" w:rsidRPr="000113B8" w:rsidRDefault="00D64467" w:rsidP="00EC7684">
            <w:pPr>
              <w:jc w:val="center"/>
              <w:rPr>
                <w:rFonts w:ascii="Garamond" w:hAnsi="Garamond" w:cs="Arial"/>
                <w:b/>
                <w:bCs/>
                <w:color w:val="000000" w:themeColor="text1"/>
              </w:rPr>
            </w:pPr>
            <w:r w:rsidRPr="000113B8">
              <w:rPr>
                <w:rFonts w:ascii="Garamond" w:hAnsi="Garamond" w:cs="Arial"/>
                <w:b/>
                <w:bCs/>
                <w:color w:val="000000" w:themeColor="text1"/>
              </w:rPr>
              <w:t>Compañía de Seguros de Vida Aurora S.A.</w:t>
            </w:r>
          </w:p>
        </w:tc>
        <w:tc>
          <w:tcPr>
            <w:tcW w:w="708" w:type="pct"/>
            <w:vAlign w:val="center"/>
            <w:hideMark/>
          </w:tcPr>
          <w:p w14:paraId="537533B8" w14:textId="77777777" w:rsidR="00D64467" w:rsidRPr="000113B8" w:rsidRDefault="00D64467" w:rsidP="00EC7684">
            <w:pPr>
              <w:jc w:val="center"/>
              <w:rPr>
                <w:rFonts w:ascii="Garamond" w:hAnsi="Garamond" w:cs="Arial"/>
                <w:color w:val="000000" w:themeColor="text1"/>
              </w:rPr>
            </w:pPr>
            <w:r w:rsidRPr="000113B8">
              <w:rPr>
                <w:rFonts w:ascii="Garamond" w:hAnsi="Garamond" w:cs="Arial"/>
                <w:color w:val="000000" w:themeColor="text1"/>
              </w:rPr>
              <w:t>860022137-5</w:t>
            </w:r>
          </w:p>
        </w:tc>
        <w:tc>
          <w:tcPr>
            <w:tcW w:w="1098" w:type="pct"/>
            <w:vAlign w:val="center"/>
          </w:tcPr>
          <w:p w14:paraId="524E0211" w14:textId="77777777" w:rsidR="00D64467" w:rsidRPr="000113B8" w:rsidRDefault="00D64467" w:rsidP="00EC7684">
            <w:pPr>
              <w:jc w:val="center"/>
              <w:rPr>
                <w:rFonts w:ascii="Garamond" w:hAnsi="Garamond" w:cs="Arial"/>
                <w:color w:val="000000" w:themeColor="text1"/>
              </w:rPr>
            </w:pPr>
            <w:r w:rsidRPr="000113B8">
              <w:rPr>
                <w:rFonts w:ascii="Garamond" w:hAnsi="Garamond" w:cs="Arial"/>
                <w:color w:val="000000" w:themeColor="text1"/>
                <w:shd w:val="clear" w:color="auto" w:fill="FCFCFC"/>
              </w:rPr>
              <w:t>Accidentes Personales, Seguros de Vida Individual, Seguros de Vida Grupo, Enfermedades de Alto Costo, ARL.</w:t>
            </w:r>
          </w:p>
        </w:tc>
        <w:tc>
          <w:tcPr>
            <w:tcW w:w="517" w:type="pct"/>
            <w:vAlign w:val="center"/>
            <w:hideMark/>
          </w:tcPr>
          <w:p w14:paraId="15B2396B" w14:textId="77777777" w:rsidR="00D64467" w:rsidRPr="000113B8" w:rsidRDefault="00D64467" w:rsidP="00EC7684">
            <w:pPr>
              <w:jc w:val="center"/>
              <w:rPr>
                <w:rFonts w:ascii="Garamond" w:hAnsi="Garamond" w:cs="Arial"/>
                <w:color w:val="000000" w:themeColor="text1"/>
              </w:rPr>
            </w:pPr>
            <w:r w:rsidRPr="000113B8">
              <w:rPr>
                <w:rFonts w:ascii="Garamond" w:hAnsi="Garamond" w:cs="Arial"/>
                <w:color w:val="000000" w:themeColor="text1"/>
              </w:rPr>
              <w:t>Bogotá D.C.</w:t>
            </w:r>
          </w:p>
        </w:tc>
        <w:tc>
          <w:tcPr>
            <w:tcW w:w="1161" w:type="pct"/>
            <w:vAlign w:val="center"/>
          </w:tcPr>
          <w:p w14:paraId="71517F48" w14:textId="77777777" w:rsidR="00D64467" w:rsidRPr="000113B8" w:rsidRDefault="00D64467" w:rsidP="00EC7684">
            <w:pPr>
              <w:jc w:val="center"/>
              <w:rPr>
                <w:rFonts w:ascii="Garamond" w:hAnsi="Garamond" w:cs="Arial"/>
                <w:color w:val="000000" w:themeColor="text1"/>
              </w:rPr>
            </w:pPr>
            <w:r w:rsidRPr="000113B8">
              <w:rPr>
                <w:rFonts w:ascii="Garamond" w:hAnsi="Garamond" w:cs="Arial"/>
                <w:noProof/>
                <w:color w:val="000000" w:themeColor="text1"/>
              </w:rPr>
              <w:drawing>
                <wp:inline distT="0" distB="0" distL="0" distR="0" wp14:anchorId="4A0BF294" wp14:editId="4765FE1E">
                  <wp:extent cx="923925" cy="219075"/>
                  <wp:effectExtent l="0" t="0" r="9525" b="9525"/>
                  <wp:docPr id="6882758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923925" cy="219075"/>
                          </a:xfrm>
                          <a:prstGeom prst="rect">
                            <a:avLst/>
                          </a:prstGeom>
                          <a:noFill/>
                          <a:ln>
                            <a:noFill/>
                          </a:ln>
                        </pic:spPr>
                      </pic:pic>
                    </a:graphicData>
                  </a:graphic>
                </wp:inline>
              </w:drawing>
            </w:r>
          </w:p>
        </w:tc>
      </w:tr>
      <w:tr w:rsidR="009A7F8F" w:rsidRPr="000113B8" w14:paraId="4C561BCB" w14:textId="77777777" w:rsidTr="00EC7684">
        <w:trPr>
          <w:trHeight w:val="900"/>
          <w:jc w:val="center"/>
        </w:trPr>
        <w:tc>
          <w:tcPr>
            <w:tcW w:w="571" w:type="pct"/>
            <w:shd w:val="clear" w:color="auto" w:fill="F2F2F2"/>
            <w:vAlign w:val="center"/>
          </w:tcPr>
          <w:p w14:paraId="5D05306A" w14:textId="77777777" w:rsidR="00D64467" w:rsidRPr="000113B8" w:rsidRDefault="00D64467" w:rsidP="00EC7684">
            <w:pPr>
              <w:jc w:val="center"/>
              <w:rPr>
                <w:rFonts w:ascii="Garamond" w:hAnsi="Garamond" w:cs="Arial"/>
                <w:b/>
                <w:bCs/>
                <w:color w:val="000000" w:themeColor="text1"/>
              </w:rPr>
            </w:pPr>
            <w:r w:rsidRPr="000113B8">
              <w:rPr>
                <w:rFonts w:ascii="Garamond" w:hAnsi="Garamond" w:cs="Arial"/>
                <w:b/>
                <w:bCs/>
                <w:color w:val="000000" w:themeColor="text1"/>
              </w:rPr>
              <w:t>11</w:t>
            </w:r>
          </w:p>
        </w:tc>
        <w:tc>
          <w:tcPr>
            <w:tcW w:w="945" w:type="pct"/>
            <w:shd w:val="clear" w:color="auto" w:fill="F2F2F2"/>
            <w:vAlign w:val="center"/>
          </w:tcPr>
          <w:p w14:paraId="2B1F400E" w14:textId="77777777" w:rsidR="00D64467" w:rsidRPr="000113B8" w:rsidRDefault="00D64467" w:rsidP="00EC7684">
            <w:pPr>
              <w:jc w:val="center"/>
              <w:rPr>
                <w:rFonts w:ascii="Garamond" w:hAnsi="Garamond" w:cs="Arial"/>
                <w:b/>
                <w:bCs/>
                <w:color w:val="000000" w:themeColor="text1"/>
              </w:rPr>
            </w:pPr>
            <w:r w:rsidRPr="000113B8">
              <w:rPr>
                <w:rFonts w:ascii="Garamond" w:hAnsi="Garamond" w:cs="Arial"/>
                <w:b/>
                <w:bCs/>
                <w:color w:val="000000" w:themeColor="text1"/>
              </w:rPr>
              <w:t>EKG Compañía de Seguros de Vida S.A.</w:t>
            </w:r>
          </w:p>
        </w:tc>
        <w:tc>
          <w:tcPr>
            <w:tcW w:w="708" w:type="pct"/>
            <w:shd w:val="clear" w:color="auto" w:fill="F2F2F2"/>
            <w:vAlign w:val="center"/>
          </w:tcPr>
          <w:p w14:paraId="68E921FD" w14:textId="77777777" w:rsidR="00D64467" w:rsidRPr="000113B8" w:rsidRDefault="00D64467" w:rsidP="00EC7684">
            <w:pPr>
              <w:jc w:val="center"/>
              <w:rPr>
                <w:rFonts w:ascii="Garamond" w:hAnsi="Garamond" w:cs="Arial"/>
                <w:color w:val="000000" w:themeColor="text1"/>
              </w:rPr>
            </w:pPr>
            <w:r w:rsidRPr="000113B8">
              <w:rPr>
                <w:rFonts w:ascii="Garamond" w:hAnsi="Garamond" w:cs="Arial"/>
                <w:color w:val="000000" w:themeColor="text1"/>
              </w:rPr>
              <w:t>901716047-8</w:t>
            </w:r>
          </w:p>
        </w:tc>
        <w:tc>
          <w:tcPr>
            <w:tcW w:w="1098" w:type="pct"/>
            <w:shd w:val="clear" w:color="auto" w:fill="F2F2F2"/>
            <w:vAlign w:val="center"/>
          </w:tcPr>
          <w:p w14:paraId="52C9DCFF" w14:textId="77777777" w:rsidR="00D64467" w:rsidRPr="000113B8" w:rsidRDefault="00D64467" w:rsidP="00EC7684">
            <w:pPr>
              <w:jc w:val="center"/>
              <w:rPr>
                <w:rFonts w:ascii="Garamond" w:hAnsi="Garamond" w:cs="Arial"/>
                <w:color w:val="000000" w:themeColor="text1"/>
              </w:rPr>
            </w:pPr>
            <w:r w:rsidRPr="000113B8">
              <w:rPr>
                <w:rFonts w:ascii="Garamond" w:hAnsi="Garamond" w:cs="Arial"/>
                <w:color w:val="000000" w:themeColor="text1"/>
              </w:rPr>
              <w:t>Vida grupo y Accidentes personales.</w:t>
            </w:r>
          </w:p>
        </w:tc>
        <w:tc>
          <w:tcPr>
            <w:tcW w:w="517" w:type="pct"/>
            <w:shd w:val="clear" w:color="auto" w:fill="F2F2F2"/>
            <w:vAlign w:val="center"/>
          </w:tcPr>
          <w:p w14:paraId="253006AB" w14:textId="77777777" w:rsidR="00D64467" w:rsidRPr="000113B8" w:rsidRDefault="00D64467" w:rsidP="00EC7684">
            <w:pPr>
              <w:jc w:val="center"/>
              <w:rPr>
                <w:rFonts w:ascii="Garamond" w:hAnsi="Garamond" w:cs="Arial"/>
                <w:color w:val="000000" w:themeColor="text1"/>
              </w:rPr>
            </w:pPr>
            <w:r w:rsidRPr="000113B8">
              <w:rPr>
                <w:rFonts w:ascii="Garamond" w:hAnsi="Garamond" w:cs="Arial"/>
                <w:color w:val="000000" w:themeColor="text1"/>
              </w:rPr>
              <w:t>Bogotá D.C.</w:t>
            </w:r>
          </w:p>
        </w:tc>
        <w:tc>
          <w:tcPr>
            <w:tcW w:w="1161" w:type="pct"/>
            <w:shd w:val="clear" w:color="auto" w:fill="F2F2F2"/>
            <w:vAlign w:val="center"/>
          </w:tcPr>
          <w:p w14:paraId="3E7C9467" w14:textId="77777777" w:rsidR="00D64467" w:rsidRPr="000113B8" w:rsidRDefault="00D64467" w:rsidP="00EC7684">
            <w:pPr>
              <w:jc w:val="center"/>
              <w:rPr>
                <w:rFonts w:ascii="Garamond" w:hAnsi="Garamond" w:cs="Arial"/>
                <w:noProof/>
                <w:color w:val="000000" w:themeColor="text1"/>
              </w:rPr>
            </w:pPr>
            <w:r w:rsidRPr="000113B8">
              <w:rPr>
                <w:rFonts w:ascii="Garamond" w:hAnsi="Garamond" w:cs="Arial"/>
                <w:noProof/>
                <w:color w:val="000000" w:themeColor="text1"/>
              </w:rPr>
              <w:drawing>
                <wp:inline distT="0" distB="0" distL="0" distR="0" wp14:anchorId="2ED2A362" wp14:editId="61D2C250">
                  <wp:extent cx="990600" cy="476250"/>
                  <wp:effectExtent l="0" t="0" r="0" b="0"/>
                  <wp:docPr id="25055802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990600" cy="476250"/>
                          </a:xfrm>
                          <a:prstGeom prst="rect">
                            <a:avLst/>
                          </a:prstGeom>
                          <a:noFill/>
                          <a:ln>
                            <a:noFill/>
                          </a:ln>
                        </pic:spPr>
                      </pic:pic>
                    </a:graphicData>
                  </a:graphic>
                </wp:inline>
              </w:drawing>
            </w:r>
          </w:p>
        </w:tc>
      </w:tr>
      <w:tr w:rsidR="009A7F8F" w:rsidRPr="000113B8" w14:paraId="3FF7ACE7" w14:textId="77777777" w:rsidTr="00EC7684">
        <w:trPr>
          <w:trHeight w:val="900"/>
          <w:jc w:val="center"/>
        </w:trPr>
        <w:tc>
          <w:tcPr>
            <w:tcW w:w="571" w:type="pct"/>
            <w:vAlign w:val="center"/>
          </w:tcPr>
          <w:p w14:paraId="1E751590" w14:textId="77777777" w:rsidR="00D64467" w:rsidRPr="000113B8" w:rsidRDefault="00D64467" w:rsidP="00EC7684">
            <w:pPr>
              <w:jc w:val="center"/>
              <w:rPr>
                <w:rFonts w:ascii="Garamond" w:hAnsi="Garamond" w:cs="Arial"/>
                <w:b/>
                <w:bCs/>
                <w:color w:val="000000" w:themeColor="text1"/>
              </w:rPr>
            </w:pPr>
            <w:r w:rsidRPr="000113B8">
              <w:rPr>
                <w:rFonts w:ascii="Garamond" w:hAnsi="Garamond" w:cs="Arial"/>
                <w:b/>
                <w:bCs/>
                <w:color w:val="000000" w:themeColor="text1"/>
              </w:rPr>
              <w:t>12</w:t>
            </w:r>
          </w:p>
        </w:tc>
        <w:tc>
          <w:tcPr>
            <w:tcW w:w="945" w:type="pct"/>
            <w:vAlign w:val="center"/>
          </w:tcPr>
          <w:p w14:paraId="0CC8EE7C" w14:textId="77777777" w:rsidR="00D64467" w:rsidRPr="000113B8" w:rsidRDefault="00D64467" w:rsidP="00EC7684">
            <w:pPr>
              <w:jc w:val="center"/>
              <w:rPr>
                <w:rFonts w:ascii="Garamond" w:hAnsi="Garamond" w:cs="Arial"/>
                <w:b/>
                <w:bCs/>
                <w:color w:val="000000" w:themeColor="text1"/>
              </w:rPr>
            </w:pPr>
            <w:r w:rsidRPr="000113B8">
              <w:rPr>
                <w:rFonts w:ascii="Garamond" w:hAnsi="Garamond" w:cs="Arial"/>
                <w:b/>
                <w:bCs/>
                <w:color w:val="000000" w:themeColor="text1"/>
              </w:rPr>
              <w:t>La Equidad Seguros de Vida Organismo Cooperativo</w:t>
            </w:r>
          </w:p>
        </w:tc>
        <w:tc>
          <w:tcPr>
            <w:tcW w:w="708" w:type="pct"/>
            <w:vAlign w:val="center"/>
          </w:tcPr>
          <w:p w14:paraId="1371D53B" w14:textId="77777777" w:rsidR="00D64467" w:rsidRPr="000113B8" w:rsidRDefault="00D64467" w:rsidP="00EC7684">
            <w:pPr>
              <w:jc w:val="center"/>
              <w:rPr>
                <w:rFonts w:ascii="Garamond" w:hAnsi="Garamond" w:cs="Arial"/>
                <w:color w:val="000000" w:themeColor="text1"/>
              </w:rPr>
            </w:pPr>
            <w:r w:rsidRPr="000113B8">
              <w:rPr>
                <w:rFonts w:ascii="Garamond" w:hAnsi="Garamond" w:cs="Arial"/>
                <w:color w:val="000000" w:themeColor="text1"/>
              </w:rPr>
              <w:t>830008686-1</w:t>
            </w:r>
          </w:p>
        </w:tc>
        <w:tc>
          <w:tcPr>
            <w:tcW w:w="1098" w:type="pct"/>
            <w:vAlign w:val="center"/>
          </w:tcPr>
          <w:p w14:paraId="110DE52B" w14:textId="77777777" w:rsidR="00D64467" w:rsidRPr="000113B8" w:rsidRDefault="00D64467" w:rsidP="00EC7684">
            <w:pPr>
              <w:jc w:val="center"/>
              <w:rPr>
                <w:rFonts w:ascii="Garamond" w:hAnsi="Garamond" w:cs="Arial"/>
                <w:color w:val="000000" w:themeColor="text1"/>
              </w:rPr>
            </w:pPr>
            <w:r w:rsidRPr="000113B8">
              <w:rPr>
                <w:rFonts w:ascii="Garamond" w:hAnsi="Garamond" w:cs="Arial"/>
                <w:color w:val="000000" w:themeColor="text1"/>
              </w:rPr>
              <w:t>Vida Grupo, Vida Individual, Accidentes Personales, Vida, Accidentes en Viaje, Deuda Protegida.</w:t>
            </w:r>
          </w:p>
        </w:tc>
        <w:tc>
          <w:tcPr>
            <w:tcW w:w="517" w:type="pct"/>
            <w:vAlign w:val="center"/>
          </w:tcPr>
          <w:p w14:paraId="5D1D66F4" w14:textId="77777777" w:rsidR="00D64467" w:rsidRPr="000113B8" w:rsidRDefault="00D64467" w:rsidP="00EC7684">
            <w:pPr>
              <w:jc w:val="center"/>
              <w:rPr>
                <w:rFonts w:ascii="Garamond" w:hAnsi="Garamond" w:cs="Arial"/>
                <w:color w:val="000000" w:themeColor="text1"/>
              </w:rPr>
            </w:pPr>
            <w:r w:rsidRPr="000113B8">
              <w:rPr>
                <w:rFonts w:ascii="Garamond" w:hAnsi="Garamond" w:cs="Arial"/>
                <w:color w:val="000000" w:themeColor="text1"/>
              </w:rPr>
              <w:t>Bogotá D.C.</w:t>
            </w:r>
          </w:p>
        </w:tc>
        <w:tc>
          <w:tcPr>
            <w:tcW w:w="1161" w:type="pct"/>
            <w:vAlign w:val="center"/>
          </w:tcPr>
          <w:p w14:paraId="4C0391A8" w14:textId="77777777" w:rsidR="00D64467" w:rsidRPr="000113B8" w:rsidRDefault="00D64467" w:rsidP="00EC7684">
            <w:pPr>
              <w:jc w:val="center"/>
              <w:rPr>
                <w:rFonts w:ascii="Garamond" w:hAnsi="Garamond" w:cs="Arial"/>
                <w:noProof/>
                <w:color w:val="000000" w:themeColor="text1"/>
              </w:rPr>
            </w:pPr>
            <w:r w:rsidRPr="000113B8">
              <w:rPr>
                <w:rFonts w:ascii="Garamond" w:hAnsi="Garamond" w:cs="Arial"/>
                <w:noProof/>
                <w:color w:val="000000" w:themeColor="text1"/>
              </w:rPr>
              <w:drawing>
                <wp:inline distT="0" distB="0" distL="0" distR="0" wp14:anchorId="6D755D7D" wp14:editId="4A9069DD">
                  <wp:extent cx="752475" cy="657225"/>
                  <wp:effectExtent l="0" t="0" r="9525" b="9525"/>
                  <wp:docPr id="1249207188"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52475" cy="657225"/>
                          </a:xfrm>
                          <a:prstGeom prst="rect">
                            <a:avLst/>
                          </a:prstGeom>
                          <a:noFill/>
                          <a:ln>
                            <a:noFill/>
                          </a:ln>
                        </pic:spPr>
                      </pic:pic>
                    </a:graphicData>
                  </a:graphic>
                </wp:inline>
              </w:drawing>
            </w:r>
          </w:p>
        </w:tc>
      </w:tr>
      <w:tr w:rsidR="009A7F8F" w:rsidRPr="000113B8" w14:paraId="6EE3FDCB" w14:textId="77777777" w:rsidTr="00EC7684">
        <w:trPr>
          <w:trHeight w:val="900"/>
          <w:jc w:val="center"/>
        </w:trPr>
        <w:tc>
          <w:tcPr>
            <w:tcW w:w="571" w:type="pct"/>
            <w:shd w:val="clear" w:color="auto" w:fill="F2F2F2"/>
            <w:vAlign w:val="center"/>
          </w:tcPr>
          <w:p w14:paraId="1BB0EFB7" w14:textId="77777777" w:rsidR="00D64467" w:rsidRPr="000113B8" w:rsidRDefault="00D64467" w:rsidP="00EC7684">
            <w:pPr>
              <w:jc w:val="center"/>
              <w:rPr>
                <w:rFonts w:ascii="Garamond" w:hAnsi="Garamond" w:cs="Arial"/>
                <w:b/>
                <w:bCs/>
                <w:color w:val="000000" w:themeColor="text1"/>
              </w:rPr>
            </w:pPr>
            <w:r w:rsidRPr="000113B8">
              <w:rPr>
                <w:rFonts w:ascii="Garamond" w:hAnsi="Garamond" w:cs="Arial"/>
                <w:b/>
                <w:bCs/>
                <w:color w:val="000000" w:themeColor="text1"/>
              </w:rPr>
              <w:t>13</w:t>
            </w:r>
          </w:p>
        </w:tc>
        <w:tc>
          <w:tcPr>
            <w:tcW w:w="945" w:type="pct"/>
            <w:shd w:val="clear" w:color="auto" w:fill="F2F2F2"/>
            <w:vAlign w:val="center"/>
          </w:tcPr>
          <w:p w14:paraId="6DE8F221" w14:textId="77777777" w:rsidR="00D64467" w:rsidRPr="000113B8" w:rsidRDefault="00D64467" w:rsidP="00EC7684">
            <w:pPr>
              <w:jc w:val="center"/>
              <w:rPr>
                <w:rFonts w:ascii="Garamond" w:hAnsi="Garamond" w:cs="Arial"/>
                <w:b/>
                <w:bCs/>
                <w:color w:val="000000" w:themeColor="text1"/>
              </w:rPr>
            </w:pPr>
            <w:r w:rsidRPr="000113B8">
              <w:rPr>
                <w:rFonts w:ascii="Garamond" w:hAnsi="Garamond" w:cs="Arial"/>
                <w:b/>
                <w:bCs/>
                <w:color w:val="000000" w:themeColor="text1"/>
              </w:rPr>
              <w:t>Global Seguros de Vida S.A.</w:t>
            </w:r>
          </w:p>
        </w:tc>
        <w:tc>
          <w:tcPr>
            <w:tcW w:w="708" w:type="pct"/>
            <w:shd w:val="clear" w:color="auto" w:fill="F2F2F2"/>
            <w:vAlign w:val="center"/>
          </w:tcPr>
          <w:p w14:paraId="1C9DD41A" w14:textId="77777777" w:rsidR="00D64467" w:rsidRPr="000113B8" w:rsidRDefault="00D64467" w:rsidP="00EC7684">
            <w:pPr>
              <w:jc w:val="center"/>
              <w:rPr>
                <w:rFonts w:ascii="Garamond" w:hAnsi="Garamond" w:cs="Arial"/>
                <w:color w:val="000000" w:themeColor="text1"/>
              </w:rPr>
            </w:pPr>
            <w:r w:rsidRPr="000113B8">
              <w:rPr>
                <w:rFonts w:ascii="Garamond" w:hAnsi="Garamond" w:cs="Arial"/>
                <w:color w:val="000000" w:themeColor="text1"/>
              </w:rPr>
              <w:t>860002182-1</w:t>
            </w:r>
          </w:p>
        </w:tc>
        <w:tc>
          <w:tcPr>
            <w:tcW w:w="1098" w:type="pct"/>
            <w:shd w:val="clear" w:color="auto" w:fill="F2F2F2"/>
            <w:vAlign w:val="center"/>
          </w:tcPr>
          <w:p w14:paraId="6DDEA383" w14:textId="77777777" w:rsidR="00D64467" w:rsidRPr="000113B8" w:rsidRDefault="00D64467" w:rsidP="00EC7684">
            <w:pPr>
              <w:jc w:val="center"/>
              <w:rPr>
                <w:rFonts w:ascii="Garamond" w:hAnsi="Garamond" w:cs="Arial"/>
                <w:color w:val="000000" w:themeColor="text1"/>
              </w:rPr>
            </w:pPr>
            <w:r w:rsidRPr="000113B8">
              <w:rPr>
                <w:rFonts w:ascii="Garamond" w:hAnsi="Garamond" w:cs="Arial"/>
                <w:color w:val="000000" w:themeColor="text1"/>
                <w:shd w:val="clear" w:color="auto" w:fill="FCFCFC"/>
              </w:rPr>
              <w:t>Vida Individual, Vida Grupo, Pensiones Voluntarias, Rentas Vitalicias.</w:t>
            </w:r>
          </w:p>
        </w:tc>
        <w:tc>
          <w:tcPr>
            <w:tcW w:w="517" w:type="pct"/>
            <w:shd w:val="clear" w:color="auto" w:fill="F2F2F2"/>
            <w:vAlign w:val="center"/>
          </w:tcPr>
          <w:p w14:paraId="1133D007" w14:textId="77777777" w:rsidR="00D64467" w:rsidRPr="000113B8" w:rsidRDefault="00D64467" w:rsidP="00EC7684">
            <w:pPr>
              <w:jc w:val="center"/>
              <w:rPr>
                <w:rFonts w:ascii="Garamond" w:hAnsi="Garamond" w:cs="Arial"/>
                <w:color w:val="000000" w:themeColor="text1"/>
              </w:rPr>
            </w:pPr>
            <w:r w:rsidRPr="000113B8">
              <w:rPr>
                <w:rFonts w:ascii="Garamond" w:hAnsi="Garamond" w:cs="Arial"/>
                <w:color w:val="000000" w:themeColor="text1"/>
              </w:rPr>
              <w:t>Bogotá D.C.</w:t>
            </w:r>
          </w:p>
        </w:tc>
        <w:tc>
          <w:tcPr>
            <w:tcW w:w="1161" w:type="pct"/>
            <w:shd w:val="clear" w:color="auto" w:fill="F2F2F2"/>
            <w:vAlign w:val="center"/>
          </w:tcPr>
          <w:p w14:paraId="0BC064B4" w14:textId="77777777" w:rsidR="00D64467" w:rsidRPr="000113B8" w:rsidRDefault="00D64467" w:rsidP="00EC7684">
            <w:pPr>
              <w:jc w:val="center"/>
              <w:rPr>
                <w:rFonts w:ascii="Garamond" w:hAnsi="Garamond" w:cs="Arial"/>
                <w:noProof/>
                <w:color w:val="000000" w:themeColor="text1"/>
              </w:rPr>
            </w:pPr>
            <w:r w:rsidRPr="000113B8">
              <w:rPr>
                <w:rFonts w:ascii="Garamond" w:hAnsi="Garamond" w:cs="Arial"/>
                <w:noProof/>
                <w:color w:val="000000" w:themeColor="text1"/>
              </w:rPr>
              <w:drawing>
                <wp:anchor distT="0" distB="0" distL="114300" distR="114300" simplePos="0" relativeHeight="487638528" behindDoc="0" locked="0" layoutInCell="1" allowOverlap="1" wp14:anchorId="213A1B07" wp14:editId="4D2BA9EB">
                  <wp:simplePos x="0" y="0"/>
                  <wp:positionH relativeFrom="column">
                    <wp:posOffset>428625</wp:posOffset>
                  </wp:positionH>
                  <wp:positionV relativeFrom="paragraph">
                    <wp:posOffset>111125</wp:posOffset>
                  </wp:positionV>
                  <wp:extent cx="623570" cy="518160"/>
                  <wp:effectExtent l="0" t="0" r="5080" b="0"/>
                  <wp:wrapNone/>
                  <wp:docPr id="1712345415" name="Imagen 67" descr="Global Seguros de Vida S.A | pasaportepil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2" descr="Global Seguros de Vida S.A | pasaportepiloto"/>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23570" cy="51816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9A7F8F" w:rsidRPr="000113B8" w14:paraId="0ECC52AE" w14:textId="77777777" w:rsidTr="00EC7684">
        <w:trPr>
          <w:trHeight w:val="900"/>
          <w:jc w:val="center"/>
        </w:trPr>
        <w:tc>
          <w:tcPr>
            <w:tcW w:w="571" w:type="pct"/>
            <w:vAlign w:val="center"/>
          </w:tcPr>
          <w:p w14:paraId="3B8C3BA0" w14:textId="77777777" w:rsidR="00D64467" w:rsidRPr="000113B8" w:rsidRDefault="00D64467" w:rsidP="00EC7684">
            <w:pPr>
              <w:jc w:val="center"/>
              <w:rPr>
                <w:rFonts w:ascii="Garamond" w:hAnsi="Garamond" w:cs="Arial"/>
                <w:b/>
                <w:bCs/>
                <w:color w:val="000000" w:themeColor="text1"/>
              </w:rPr>
            </w:pPr>
            <w:r w:rsidRPr="000113B8">
              <w:rPr>
                <w:rFonts w:ascii="Garamond" w:hAnsi="Garamond" w:cs="Arial"/>
                <w:b/>
                <w:bCs/>
                <w:color w:val="000000" w:themeColor="text1"/>
              </w:rPr>
              <w:t>14</w:t>
            </w:r>
          </w:p>
        </w:tc>
        <w:tc>
          <w:tcPr>
            <w:tcW w:w="945" w:type="pct"/>
            <w:vAlign w:val="center"/>
          </w:tcPr>
          <w:p w14:paraId="0DD82BBD" w14:textId="77777777" w:rsidR="00D64467" w:rsidRPr="000113B8" w:rsidRDefault="00D64467" w:rsidP="00EC7684">
            <w:pPr>
              <w:jc w:val="center"/>
              <w:rPr>
                <w:rFonts w:ascii="Garamond" w:hAnsi="Garamond" w:cs="Arial"/>
                <w:b/>
                <w:bCs/>
                <w:color w:val="000000" w:themeColor="text1"/>
              </w:rPr>
            </w:pPr>
            <w:r w:rsidRPr="000113B8">
              <w:rPr>
                <w:rFonts w:ascii="Garamond" w:hAnsi="Garamond" w:cs="Arial"/>
                <w:b/>
                <w:bCs/>
                <w:color w:val="000000" w:themeColor="text1"/>
              </w:rPr>
              <w:t>Mapfre Colombia Vida Seguros S.A.</w:t>
            </w:r>
          </w:p>
        </w:tc>
        <w:tc>
          <w:tcPr>
            <w:tcW w:w="708" w:type="pct"/>
            <w:vAlign w:val="center"/>
          </w:tcPr>
          <w:p w14:paraId="3912B77E" w14:textId="77777777" w:rsidR="00D64467" w:rsidRPr="000113B8" w:rsidRDefault="00D64467" w:rsidP="00EC7684">
            <w:pPr>
              <w:jc w:val="center"/>
              <w:rPr>
                <w:rFonts w:ascii="Garamond" w:hAnsi="Garamond" w:cs="Arial"/>
                <w:color w:val="000000" w:themeColor="text1"/>
              </w:rPr>
            </w:pPr>
            <w:r w:rsidRPr="000113B8">
              <w:rPr>
                <w:rFonts w:ascii="Garamond" w:hAnsi="Garamond" w:cs="Arial"/>
                <w:color w:val="000000" w:themeColor="text1"/>
              </w:rPr>
              <w:t>830054904-6</w:t>
            </w:r>
          </w:p>
        </w:tc>
        <w:tc>
          <w:tcPr>
            <w:tcW w:w="1098" w:type="pct"/>
            <w:vAlign w:val="center"/>
          </w:tcPr>
          <w:p w14:paraId="1E1641B4" w14:textId="77777777" w:rsidR="00D64467" w:rsidRPr="000113B8" w:rsidRDefault="00D64467" w:rsidP="00EC7684">
            <w:pPr>
              <w:jc w:val="center"/>
              <w:rPr>
                <w:rFonts w:ascii="Garamond" w:hAnsi="Garamond" w:cs="Arial"/>
                <w:color w:val="000000" w:themeColor="text1"/>
              </w:rPr>
            </w:pPr>
            <w:r w:rsidRPr="000113B8">
              <w:rPr>
                <w:rFonts w:ascii="Garamond" w:hAnsi="Garamond" w:cs="Arial"/>
                <w:color w:val="000000" w:themeColor="text1"/>
              </w:rPr>
              <w:t>Vida Individual, Vida Grupo, Accidentes Personales, Salud, Exequias, Educativo, Pensiones y Ley 100, Seguro Previsional de Invalidez y Sobrevivencia</w:t>
            </w:r>
          </w:p>
        </w:tc>
        <w:tc>
          <w:tcPr>
            <w:tcW w:w="517" w:type="pct"/>
            <w:vAlign w:val="center"/>
          </w:tcPr>
          <w:p w14:paraId="56E36391" w14:textId="77777777" w:rsidR="00D64467" w:rsidRPr="000113B8" w:rsidRDefault="00D64467" w:rsidP="00EC7684">
            <w:pPr>
              <w:jc w:val="center"/>
              <w:rPr>
                <w:rFonts w:ascii="Garamond" w:hAnsi="Garamond" w:cs="Arial"/>
                <w:color w:val="000000" w:themeColor="text1"/>
              </w:rPr>
            </w:pPr>
            <w:r w:rsidRPr="000113B8">
              <w:rPr>
                <w:rFonts w:ascii="Garamond" w:hAnsi="Garamond" w:cs="Arial"/>
                <w:color w:val="000000" w:themeColor="text1"/>
              </w:rPr>
              <w:t>Bogotá D.C.</w:t>
            </w:r>
          </w:p>
        </w:tc>
        <w:tc>
          <w:tcPr>
            <w:tcW w:w="1161" w:type="pct"/>
            <w:vAlign w:val="center"/>
          </w:tcPr>
          <w:p w14:paraId="6C6F8EF6" w14:textId="77777777" w:rsidR="00D64467" w:rsidRPr="000113B8" w:rsidRDefault="00D64467" w:rsidP="00EC7684">
            <w:pPr>
              <w:jc w:val="center"/>
              <w:rPr>
                <w:rFonts w:ascii="Garamond" w:hAnsi="Garamond" w:cs="Arial"/>
                <w:noProof/>
                <w:color w:val="000000" w:themeColor="text1"/>
              </w:rPr>
            </w:pPr>
            <w:r w:rsidRPr="000113B8">
              <w:rPr>
                <w:rFonts w:ascii="Garamond" w:hAnsi="Garamond" w:cs="Arial"/>
                <w:noProof/>
                <w:color w:val="000000" w:themeColor="text1"/>
              </w:rPr>
              <w:drawing>
                <wp:inline distT="0" distB="0" distL="0" distR="0" wp14:anchorId="1F227610" wp14:editId="0818078D">
                  <wp:extent cx="1314450" cy="457200"/>
                  <wp:effectExtent l="0" t="0" r="0" b="0"/>
                  <wp:docPr id="1336057535" name="Imagen 33" descr="Un dibujo de una cara feliz&#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descr="Un dibujo de una cara feliz&#10;&#10;El contenido generado por IA puede ser incorrecto."/>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314450" cy="457200"/>
                          </a:xfrm>
                          <a:prstGeom prst="rect">
                            <a:avLst/>
                          </a:prstGeom>
                          <a:noFill/>
                          <a:ln>
                            <a:noFill/>
                          </a:ln>
                        </pic:spPr>
                      </pic:pic>
                    </a:graphicData>
                  </a:graphic>
                </wp:inline>
              </w:drawing>
            </w:r>
          </w:p>
        </w:tc>
      </w:tr>
      <w:tr w:rsidR="009A7F8F" w:rsidRPr="000113B8" w14:paraId="1B7E2D25" w14:textId="77777777" w:rsidTr="00EC7684">
        <w:trPr>
          <w:trHeight w:val="900"/>
          <w:jc w:val="center"/>
        </w:trPr>
        <w:tc>
          <w:tcPr>
            <w:tcW w:w="571" w:type="pct"/>
            <w:shd w:val="clear" w:color="auto" w:fill="F2F2F2"/>
            <w:vAlign w:val="center"/>
          </w:tcPr>
          <w:p w14:paraId="4F8C927C" w14:textId="77777777" w:rsidR="00D64467" w:rsidRPr="000113B8" w:rsidRDefault="00D64467" w:rsidP="00EC7684">
            <w:pPr>
              <w:jc w:val="center"/>
              <w:rPr>
                <w:rFonts w:ascii="Garamond" w:hAnsi="Garamond" w:cs="Arial"/>
                <w:b/>
                <w:bCs/>
                <w:color w:val="000000" w:themeColor="text1"/>
              </w:rPr>
            </w:pPr>
            <w:r w:rsidRPr="000113B8">
              <w:rPr>
                <w:rFonts w:ascii="Garamond" w:hAnsi="Garamond" w:cs="Arial"/>
                <w:b/>
                <w:bCs/>
                <w:color w:val="000000" w:themeColor="text1"/>
              </w:rPr>
              <w:lastRenderedPageBreak/>
              <w:t>15</w:t>
            </w:r>
          </w:p>
        </w:tc>
        <w:tc>
          <w:tcPr>
            <w:tcW w:w="945" w:type="pct"/>
            <w:shd w:val="clear" w:color="auto" w:fill="F2F2F2"/>
            <w:vAlign w:val="center"/>
          </w:tcPr>
          <w:p w14:paraId="5EDC7E81" w14:textId="77777777" w:rsidR="00D64467" w:rsidRPr="000113B8" w:rsidRDefault="00D64467" w:rsidP="00EC7684">
            <w:pPr>
              <w:jc w:val="center"/>
              <w:rPr>
                <w:rFonts w:ascii="Garamond" w:hAnsi="Garamond" w:cs="Arial"/>
                <w:b/>
                <w:bCs/>
                <w:color w:val="000000" w:themeColor="text1"/>
              </w:rPr>
            </w:pPr>
            <w:r w:rsidRPr="000113B8">
              <w:rPr>
                <w:rFonts w:ascii="Garamond" w:hAnsi="Garamond" w:cs="Arial"/>
                <w:b/>
                <w:bCs/>
                <w:color w:val="000000" w:themeColor="text1"/>
              </w:rPr>
              <w:t>MetLife Colombia Seguros de Vida S.A.</w:t>
            </w:r>
          </w:p>
        </w:tc>
        <w:tc>
          <w:tcPr>
            <w:tcW w:w="708" w:type="pct"/>
            <w:shd w:val="clear" w:color="auto" w:fill="F2F2F2"/>
            <w:vAlign w:val="center"/>
          </w:tcPr>
          <w:p w14:paraId="4BEE0470" w14:textId="77777777" w:rsidR="00D64467" w:rsidRPr="000113B8" w:rsidRDefault="00D64467" w:rsidP="00EC7684">
            <w:pPr>
              <w:jc w:val="center"/>
              <w:rPr>
                <w:rFonts w:ascii="Garamond" w:hAnsi="Garamond" w:cs="Arial"/>
                <w:color w:val="000000" w:themeColor="text1"/>
              </w:rPr>
            </w:pPr>
            <w:r w:rsidRPr="000113B8">
              <w:rPr>
                <w:rFonts w:ascii="Garamond" w:hAnsi="Garamond" w:cs="Arial"/>
                <w:color w:val="000000" w:themeColor="text1"/>
              </w:rPr>
              <w:t>860002398-5</w:t>
            </w:r>
          </w:p>
        </w:tc>
        <w:tc>
          <w:tcPr>
            <w:tcW w:w="1098" w:type="pct"/>
            <w:shd w:val="clear" w:color="auto" w:fill="F2F2F2"/>
            <w:vAlign w:val="center"/>
          </w:tcPr>
          <w:p w14:paraId="052D13E8" w14:textId="77777777" w:rsidR="00D64467" w:rsidRPr="000113B8" w:rsidRDefault="00D64467" w:rsidP="00EC7684">
            <w:pPr>
              <w:jc w:val="center"/>
              <w:rPr>
                <w:rFonts w:ascii="Garamond" w:hAnsi="Garamond" w:cs="Arial"/>
                <w:color w:val="000000" w:themeColor="text1"/>
              </w:rPr>
            </w:pPr>
            <w:r w:rsidRPr="000113B8">
              <w:rPr>
                <w:rFonts w:ascii="Garamond" w:hAnsi="Garamond" w:cs="Arial"/>
                <w:color w:val="000000" w:themeColor="text1"/>
              </w:rPr>
              <w:t>Seguro de Desempleo, Accidentes Personales, Vida Grupo, Colectivo Vida, Salud, Vida Individual, Pensiones de Jubilación, Seguros Pensionales con Conmutación Pensional, Seguros de Pensiones Ley 100.</w:t>
            </w:r>
          </w:p>
        </w:tc>
        <w:tc>
          <w:tcPr>
            <w:tcW w:w="517" w:type="pct"/>
            <w:shd w:val="clear" w:color="auto" w:fill="F2F2F2"/>
            <w:vAlign w:val="center"/>
          </w:tcPr>
          <w:p w14:paraId="2D616F3E" w14:textId="77777777" w:rsidR="00D64467" w:rsidRPr="000113B8" w:rsidRDefault="00D64467" w:rsidP="00EC7684">
            <w:pPr>
              <w:jc w:val="center"/>
              <w:rPr>
                <w:rFonts w:ascii="Garamond" w:hAnsi="Garamond" w:cs="Arial"/>
                <w:color w:val="000000" w:themeColor="text1"/>
              </w:rPr>
            </w:pPr>
            <w:r w:rsidRPr="000113B8">
              <w:rPr>
                <w:rFonts w:ascii="Garamond" w:hAnsi="Garamond" w:cs="Arial"/>
                <w:color w:val="000000" w:themeColor="text1"/>
              </w:rPr>
              <w:t>Bogotá D.C.</w:t>
            </w:r>
          </w:p>
        </w:tc>
        <w:tc>
          <w:tcPr>
            <w:tcW w:w="1161" w:type="pct"/>
            <w:shd w:val="clear" w:color="auto" w:fill="F2F2F2"/>
            <w:vAlign w:val="center"/>
          </w:tcPr>
          <w:p w14:paraId="0DF56DB3" w14:textId="77777777" w:rsidR="00D64467" w:rsidRPr="000113B8" w:rsidRDefault="00D64467" w:rsidP="00EC7684">
            <w:pPr>
              <w:jc w:val="center"/>
              <w:rPr>
                <w:rFonts w:ascii="Garamond" w:hAnsi="Garamond" w:cs="Arial"/>
                <w:color w:val="000000" w:themeColor="text1"/>
              </w:rPr>
            </w:pPr>
            <w:r w:rsidRPr="000113B8">
              <w:rPr>
                <w:rFonts w:ascii="Garamond" w:hAnsi="Garamond" w:cs="Arial"/>
                <w:noProof/>
                <w:color w:val="000000" w:themeColor="text1"/>
              </w:rPr>
              <w:drawing>
                <wp:inline distT="0" distB="0" distL="0" distR="0" wp14:anchorId="1CE6677E" wp14:editId="558270B0">
                  <wp:extent cx="1104900" cy="266700"/>
                  <wp:effectExtent l="0" t="0" r="0" b="0"/>
                  <wp:docPr id="144255831"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104900" cy="266700"/>
                          </a:xfrm>
                          <a:prstGeom prst="rect">
                            <a:avLst/>
                          </a:prstGeom>
                          <a:noFill/>
                          <a:ln>
                            <a:noFill/>
                          </a:ln>
                        </pic:spPr>
                      </pic:pic>
                    </a:graphicData>
                  </a:graphic>
                </wp:inline>
              </w:drawing>
            </w:r>
          </w:p>
        </w:tc>
      </w:tr>
      <w:tr w:rsidR="009A7F8F" w:rsidRPr="000113B8" w14:paraId="543F2266" w14:textId="77777777" w:rsidTr="00EC7684">
        <w:trPr>
          <w:trHeight w:val="1200"/>
          <w:jc w:val="center"/>
        </w:trPr>
        <w:tc>
          <w:tcPr>
            <w:tcW w:w="571" w:type="pct"/>
            <w:vAlign w:val="center"/>
          </w:tcPr>
          <w:p w14:paraId="529691FF" w14:textId="77777777" w:rsidR="00D64467" w:rsidRPr="000113B8" w:rsidRDefault="00D64467" w:rsidP="00EC7684">
            <w:pPr>
              <w:jc w:val="center"/>
              <w:rPr>
                <w:rFonts w:ascii="Garamond" w:hAnsi="Garamond" w:cs="Arial"/>
                <w:b/>
                <w:bCs/>
                <w:color w:val="000000" w:themeColor="text1"/>
              </w:rPr>
            </w:pPr>
            <w:r w:rsidRPr="000113B8">
              <w:rPr>
                <w:rFonts w:ascii="Garamond" w:hAnsi="Garamond" w:cs="Arial"/>
                <w:b/>
                <w:bCs/>
                <w:color w:val="000000" w:themeColor="text1"/>
              </w:rPr>
              <w:t>16</w:t>
            </w:r>
          </w:p>
        </w:tc>
        <w:tc>
          <w:tcPr>
            <w:tcW w:w="945" w:type="pct"/>
            <w:vAlign w:val="center"/>
          </w:tcPr>
          <w:p w14:paraId="756BCE42" w14:textId="77777777" w:rsidR="00D64467" w:rsidRPr="000113B8" w:rsidRDefault="00D64467" w:rsidP="00EC7684">
            <w:pPr>
              <w:jc w:val="center"/>
              <w:rPr>
                <w:rFonts w:ascii="Garamond" w:hAnsi="Garamond" w:cs="Arial"/>
                <w:b/>
                <w:bCs/>
                <w:color w:val="000000" w:themeColor="text1"/>
              </w:rPr>
            </w:pPr>
            <w:r w:rsidRPr="000113B8">
              <w:rPr>
                <w:rFonts w:ascii="Garamond" w:hAnsi="Garamond" w:cs="Arial"/>
                <w:b/>
                <w:bCs/>
                <w:color w:val="000000" w:themeColor="text1"/>
              </w:rPr>
              <w:t>Pan American Life de Colombia Compañía de Seguros S.A.</w:t>
            </w:r>
          </w:p>
        </w:tc>
        <w:tc>
          <w:tcPr>
            <w:tcW w:w="708" w:type="pct"/>
            <w:vAlign w:val="center"/>
          </w:tcPr>
          <w:p w14:paraId="43D4A606" w14:textId="77777777" w:rsidR="00D64467" w:rsidRPr="000113B8" w:rsidRDefault="00D64467" w:rsidP="00EC7684">
            <w:pPr>
              <w:jc w:val="center"/>
              <w:rPr>
                <w:rFonts w:ascii="Garamond" w:hAnsi="Garamond" w:cs="Arial"/>
                <w:color w:val="000000" w:themeColor="text1"/>
              </w:rPr>
            </w:pPr>
            <w:r w:rsidRPr="000113B8">
              <w:rPr>
                <w:rFonts w:ascii="Garamond" w:hAnsi="Garamond" w:cs="Arial"/>
                <w:color w:val="000000" w:themeColor="text1"/>
              </w:rPr>
              <w:t>860038299-1</w:t>
            </w:r>
          </w:p>
        </w:tc>
        <w:tc>
          <w:tcPr>
            <w:tcW w:w="1098" w:type="pct"/>
            <w:vAlign w:val="center"/>
          </w:tcPr>
          <w:p w14:paraId="4FF20B52" w14:textId="77777777" w:rsidR="00D64467" w:rsidRPr="000113B8" w:rsidRDefault="00D64467" w:rsidP="00EC7684">
            <w:pPr>
              <w:jc w:val="center"/>
              <w:rPr>
                <w:rFonts w:ascii="Garamond" w:hAnsi="Garamond" w:cs="Arial"/>
                <w:color w:val="000000" w:themeColor="text1"/>
              </w:rPr>
            </w:pPr>
            <w:r w:rsidRPr="000113B8">
              <w:rPr>
                <w:rFonts w:ascii="Garamond" w:hAnsi="Garamond" w:cs="Arial"/>
                <w:color w:val="000000" w:themeColor="text1"/>
                <w:shd w:val="clear" w:color="auto" w:fill="FCFCFC"/>
              </w:rPr>
              <w:t>Vida Individual, Accidentes, Pólizas Colectivas de Grupo, Planes de Hospitalización y Cirugía.</w:t>
            </w:r>
          </w:p>
        </w:tc>
        <w:tc>
          <w:tcPr>
            <w:tcW w:w="517" w:type="pct"/>
            <w:vAlign w:val="center"/>
          </w:tcPr>
          <w:p w14:paraId="13A92C26" w14:textId="77777777" w:rsidR="00D64467" w:rsidRPr="000113B8" w:rsidRDefault="00D64467" w:rsidP="00EC7684">
            <w:pPr>
              <w:jc w:val="center"/>
              <w:rPr>
                <w:rFonts w:ascii="Garamond" w:hAnsi="Garamond" w:cs="Arial"/>
                <w:color w:val="000000" w:themeColor="text1"/>
              </w:rPr>
            </w:pPr>
            <w:r w:rsidRPr="000113B8">
              <w:rPr>
                <w:rFonts w:ascii="Garamond" w:hAnsi="Garamond" w:cs="Arial"/>
                <w:color w:val="000000" w:themeColor="text1"/>
              </w:rPr>
              <w:t>Bogotá D.C.</w:t>
            </w:r>
          </w:p>
        </w:tc>
        <w:tc>
          <w:tcPr>
            <w:tcW w:w="1161" w:type="pct"/>
            <w:vAlign w:val="center"/>
          </w:tcPr>
          <w:p w14:paraId="5C0F5BBC" w14:textId="77777777" w:rsidR="00D64467" w:rsidRPr="000113B8" w:rsidRDefault="00D64467" w:rsidP="00EC7684">
            <w:pPr>
              <w:jc w:val="center"/>
              <w:rPr>
                <w:rFonts w:ascii="Garamond" w:hAnsi="Garamond" w:cs="Arial"/>
                <w:noProof/>
                <w:color w:val="000000" w:themeColor="text1"/>
              </w:rPr>
            </w:pPr>
            <w:r w:rsidRPr="000113B8">
              <w:rPr>
                <w:rFonts w:ascii="Garamond" w:hAnsi="Garamond" w:cs="Arial"/>
                <w:noProof/>
                <w:color w:val="000000" w:themeColor="text1"/>
              </w:rPr>
              <w:drawing>
                <wp:inline distT="0" distB="0" distL="0" distR="0" wp14:anchorId="4D84DC0C" wp14:editId="7CFA872E">
                  <wp:extent cx="1114425" cy="371475"/>
                  <wp:effectExtent l="0" t="0" r="9525" b="9525"/>
                  <wp:docPr id="1718780796"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114425" cy="371475"/>
                          </a:xfrm>
                          <a:prstGeom prst="rect">
                            <a:avLst/>
                          </a:prstGeom>
                          <a:noFill/>
                          <a:ln>
                            <a:noFill/>
                          </a:ln>
                        </pic:spPr>
                      </pic:pic>
                    </a:graphicData>
                  </a:graphic>
                </wp:inline>
              </w:drawing>
            </w:r>
          </w:p>
        </w:tc>
      </w:tr>
      <w:tr w:rsidR="009A7F8F" w:rsidRPr="000113B8" w14:paraId="4CF945D1" w14:textId="77777777" w:rsidTr="00EC7684">
        <w:trPr>
          <w:trHeight w:val="1200"/>
          <w:jc w:val="center"/>
        </w:trPr>
        <w:tc>
          <w:tcPr>
            <w:tcW w:w="571" w:type="pct"/>
            <w:shd w:val="clear" w:color="auto" w:fill="F2F2F2"/>
            <w:vAlign w:val="center"/>
          </w:tcPr>
          <w:p w14:paraId="15177A80" w14:textId="77777777" w:rsidR="00D64467" w:rsidRPr="000113B8" w:rsidRDefault="00D64467" w:rsidP="00EC7684">
            <w:pPr>
              <w:jc w:val="center"/>
              <w:rPr>
                <w:rFonts w:ascii="Garamond" w:hAnsi="Garamond" w:cs="Arial"/>
                <w:b/>
                <w:bCs/>
                <w:color w:val="000000" w:themeColor="text1"/>
              </w:rPr>
            </w:pPr>
            <w:r w:rsidRPr="000113B8">
              <w:rPr>
                <w:rFonts w:ascii="Garamond" w:hAnsi="Garamond" w:cs="Arial"/>
                <w:b/>
                <w:bCs/>
                <w:color w:val="000000" w:themeColor="text1"/>
              </w:rPr>
              <w:t>17</w:t>
            </w:r>
          </w:p>
        </w:tc>
        <w:tc>
          <w:tcPr>
            <w:tcW w:w="945" w:type="pct"/>
            <w:shd w:val="clear" w:color="auto" w:fill="F2F2F2"/>
            <w:vAlign w:val="center"/>
          </w:tcPr>
          <w:p w14:paraId="40C33300" w14:textId="77777777" w:rsidR="00D64467" w:rsidRPr="000113B8" w:rsidRDefault="00D64467" w:rsidP="00EC7684">
            <w:pPr>
              <w:jc w:val="center"/>
              <w:rPr>
                <w:rFonts w:ascii="Garamond" w:hAnsi="Garamond" w:cs="Arial"/>
                <w:b/>
                <w:bCs/>
                <w:color w:val="000000" w:themeColor="text1"/>
              </w:rPr>
            </w:pPr>
            <w:r w:rsidRPr="000113B8">
              <w:rPr>
                <w:rFonts w:ascii="Garamond" w:hAnsi="Garamond" w:cs="Arial"/>
                <w:b/>
                <w:bCs/>
                <w:color w:val="000000" w:themeColor="text1"/>
              </w:rPr>
              <w:t>Positiva Compañía de Seguros S.A.</w:t>
            </w:r>
          </w:p>
        </w:tc>
        <w:tc>
          <w:tcPr>
            <w:tcW w:w="708" w:type="pct"/>
            <w:shd w:val="clear" w:color="auto" w:fill="F2F2F2"/>
            <w:vAlign w:val="center"/>
          </w:tcPr>
          <w:p w14:paraId="1B88712D" w14:textId="77777777" w:rsidR="00D64467" w:rsidRPr="000113B8" w:rsidRDefault="00D64467" w:rsidP="00EC7684">
            <w:pPr>
              <w:jc w:val="center"/>
              <w:rPr>
                <w:rFonts w:ascii="Garamond" w:hAnsi="Garamond" w:cs="Arial"/>
                <w:color w:val="000000" w:themeColor="text1"/>
              </w:rPr>
            </w:pPr>
            <w:r w:rsidRPr="000113B8">
              <w:rPr>
                <w:rFonts w:ascii="Garamond" w:hAnsi="Garamond" w:cs="Arial"/>
                <w:color w:val="000000" w:themeColor="text1"/>
              </w:rPr>
              <w:t>860011153-6</w:t>
            </w:r>
          </w:p>
        </w:tc>
        <w:tc>
          <w:tcPr>
            <w:tcW w:w="1098" w:type="pct"/>
            <w:shd w:val="clear" w:color="auto" w:fill="F2F2F2"/>
            <w:vAlign w:val="center"/>
          </w:tcPr>
          <w:p w14:paraId="5C6A8D95" w14:textId="77777777" w:rsidR="00D64467" w:rsidRPr="000113B8" w:rsidRDefault="00D64467" w:rsidP="00EC7684">
            <w:pPr>
              <w:jc w:val="center"/>
              <w:rPr>
                <w:rFonts w:ascii="Garamond" w:hAnsi="Garamond" w:cs="Arial"/>
                <w:color w:val="000000" w:themeColor="text1"/>
              </w:rPr>
            </w:pPr>
            <w:r w:rsidRPr="000113B8">
              <w:rPr>
                <w:rFonts w:ascii="Garamond" w:hAnsi="Garamond" w:cs="Arial"/>
                <w:color w:val="000000" w:themeColor="text1"/>
              </w:rPr>
              <w:t>Riesgos Laborales, Vida Grupo, Accidentes Personales, Vida Individual, Salud, BEPS, Conmutación Pensional, Pensiones Voluntarias, Exequias y Desempleo.</w:t>
            </w:r>
          </w:p>
        </w:tc>
        <w:tc>
          <w:tcPr>
            <w:tcW w:w="517" w:type="pct"/>
            <w:shd w:val="clear" w:color="auto" w:fill="F2F2F2"/>
            <w:vAlign w:val="center"/>
          </w:tcPr>
          <w:p w14:paraId="7EC67CD8" w14:textId="77777777" w:rsidR="00D64467" w:rsidRPr="000113B8" w:rsidRDefault="00D64467" w:rsidP="00EC7684">
            <w:pPr>
              <w:jc w:val="center"/>
              <w:rPr>
                <w:rFonts w:ascii="Garamond" w:hAnsi="Garamond" w:cs="Arial"/>
                <w:color w:val="000000" w:themeColor="text1"/>
              </w:rPr>
            </w:pPr>
            <w:r w:rsidRPr="000113B8">
              <w:rPr>
                <w:rFonts w:ascii="Garamond" w:hAnsi="Garamond" w:cs="Arial"/>
                <w:color w:val="000000" w:themeColor="text1"/>
              </w:rPr>
              <w:t>Bogotá D.C.</w:t>
            </w:r>
          </w:p>
        </w:tc>
        <w:tc>
          <w:tcPr>
            <w:tcW w:w="1161" w:type="pct"/>
            <w:shd w:val="clear" w:color="auto" w:fill="F2F2F2"/>
            <w:vAlign w:val="center"/>
          </w:tcPr>
          <w:p w14:paraId="1FB06401" w14:textId="77777777" w:rsidR="00D64467" w:rsidRPr="000113B8" w:rsidRDefault="00D64467" w:rsidP="00EC7684">
            <w:pPr>
              <w:jc w:val="center"/>
              <w:rPr>
                <w:rFonts w:ascii="Garamond" w:hAnsi="Garamond" w:cs="Arial"/>
                <w:noProof/>
                <w:color w:val="000000" w:themeColor="text1"/>
              </w:rPr>
            </w:pPr>
            <w:r w:rsidRPr="000113B8">
              <w:rPr>
                <w:rFonts w:ascii="Garamond" w:hAnsi="Garamond" w:cs="Arial"/>
                <w:noProof/>
                <w:color w:val="000000" w:themeColor="text1"/>
              </w:rPr>
              <w:drawing>
                <wp:inline distT="0" distB="0" distL="0" distR="0" wp14:anchorId="3220F336" wp14:editId="351F3011">
                  <wp:extent cx="1038225" cy="314325"/>
                  <wp:effectExtent l="0" t="0" r="9525" b="9525"/>
                  <wp:docPr id="260434845"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038225" cy="314325"/>
                          </a:xfrm>
                          <a:prstGeom prst="rect">
                            <a:avLst/>
                          </a:prstGeom>
                          <a:noFill/>
                          <a:ln>
                            <a:noFill/>
                          </a:ln>
                        </pic:spPr>
                      </pic:pic>
                    </a:graphicData>
                  </a:graphic>
                </wp:inline>
              </w:drawing>
            </w:r>
          </w:p>
        </w:tc>
      </w:tr>
      <w:tr w:rsidR="009A7F8F" w:rsidRPr="000113B8" w14:paraId="2BE4DA54" w14:textId="77777777" w:rsidTr="00EC7684">
        <w:trPr>
          <w:trHeight w:val="1200"/>
          <w:jc w:val="center"/>
        </w:trPr>
        <w:tc>
          <w:tcPr>
            <w:tcW w:w="571" w:type="pct"/>
            <w:vAlign w:val="center"/>
          </w:tcPr>
          <w:p w14:paraId="11F83965" w14:textId="77777777" w:rsidR="00D64467" w:rsidRPr="000113B8" w:rsidRDefault="00D64467" w:rsidP="00EC7684">
            <w:pPr>
              <w:jc w:val="center"/>
              <w:rPr>
                <w:rFonts w:ascii="Garamond" w:hAnsi="Garamond" w:cs="Arial"/>
                <w:b/>
                <w:bCs/>
                <w:color w:val="000000" w:themeColor="text1"/>
              </w:rPr>
            </w:pPr>
            <w:r w:rsidRPr="000113B8">
              <w:rPr>
                <w:rFonts w:ascii="Garamond" w:hAnsi="Garamond" w:cs="Arial"/>
                <w:b/>
                <w:bCs/>
                <w:color w:val="000000" w:themeColor="text1"/>
              </w:rPr>
              <w:t>18</w:t>
            </w:r>
          </w:p>
        </w:tc>
        <w:tc>
          <w:tcPr>
            <w:tcW w:w="945" w:type="pct"/>
            <w:vAlign w:val="center"/>
          </w:tcPr>
          <w:p w14:paraId="7ABEA2B1" w14:textId="77777777" w:rsidR="00D64467" w:rsidRPr="000113B8" w:rsidRDefault="00D64467" w:rsidP="00EC7684">
            <w:pPr>
              <w:jc w:val="center"/>
              <w:rPr>
                <w:rFonts w:ascii="Garamond" w:hAnsi="Garamond" w:cs="Arial"/>
                <w:b/>
                <w:bCs/>
                <w:color w:val="000000" w:themeColor="text1"/>
              </w:rPr>
            </w:pPr>
            <w:r w:rsidRPr="000113B8">
              <w:rPr>
                <w:rFonts w:ascii="Garamond" w:hAnsi="Garamond" w:cs="Arial"/>
                <w:b/>
                <w:bCs/>
                <w:color w:val="000000" w:themeColor="text1"/>
              </w:rPr>
              <w:t>Seguros de Vida Alfa S.A.</w:t>
            </w:r>
          </w:p>
        </w:tc>
        <w:tc>
          <w:tcPr>
            <w:tcW w:w="708" w:type="pct"/>
            <w:vAlign w:val="center"/>
          </w:tcPr>
          <w:p w14:paraId="7E7459AE" w14:textId="77777777" w:rsidR="00D64467" w:rsidRPr="000113B8" w:rsidRDefault="00D64467" w:rsidP="00EC7684">
            <w:pPr>
              <w:jc w:val="center"/>
              <w:rPr>
                <w:rFonts w:ascii="Garamond" w:hAnsi="Garamond" w:cs="Arial"/>
                <w:color w:val="000000" w:themeColor="text1"/>
              </w:rPr>
            </w:pPr>
            <w:r w:rsidRPr="000113B8">
              <w:rPr>
                <w:rFonts w:ascii="Garamond" w:hAnsi="Garamond" w:cs="Arial"/>
                <w:color w:val="000000" w:themeColor="text1"/>
              </w:rPr>
              <w:t>860503617-3</w:t>
            </w:r>
          </w:p>
        </w:tc>
        <w:tc>
          <w:tcPr>
            <w:tcW w:w="1098" w:type="pct"/>
            <w:vAlign w:val="center"/>
          </w:tcPr>
          <w:p w14:paraId="50A1724E" w14:textId="77777777" w:rsidR="00D64467" w:rsidRPr="000113B8" w:rsidRDefault="00D64467" w:rsidP="00EC7684">
            <w:pPr>
              <w:jc w:val="center"/>
              <w:rPr>
                <w:rFonts w:ascii="Garamond" w:hAnsi="Garamond" w:cs="Arial"/>
                <w:color w:val="000000" w:themeColor="text1"/>
              </w:rPr>
            </w:pPr>
            <w:r w:rsidRPr="000113B8">
              <w:rPr>
                <w:rFonts w:ascii="Garamond" w:hAnsi="Garamond" w:cs="Arial"/>
                <w:color w:val="000000" w:themeColor="text1"/>
              </w:rPr>
              <w:t>Accidentes Personales, Colectivo de Vida, Vida Grupo, Vida Individual, Seguros Previsionales de Invalidez y Sobrevivencia, Seguros de Pensiones Ley 100, Riesgos Profesionales y Seguro de Salud.</w:t>
            </w:r>
          </w:p>
        </w:tc>
        <w:tc>
          <w:tcPr>
            <w:tcW w:w="517" w:type="pct"/>
            <w:vAlign w:val="center"/>
          </w:tcPr>
          <w:p w14:paraId="5CAAEB2F" w14:textId="77777777" w:rsidR="00D64467" w:rsidRPr="000113B8" w:rsidRDefault="00D64467" w:rsidP="00EC7684">
            <w:pPr>
              <w:jc w:val="center"/>
              <w:rPr>
                <w:rFonts w:ascii="Garamond" w:hAnsi="Garamond" w:cs="Arial"/>
                <w:color w:val="000000" w:themeColor="text1"/>
              </w:rPr>
            </w:pPr>
            <w:r w:rsidRPr="000113B8">
              <w:rPr>
                <w:rFonts w:ascii="Garamond" w:hAnsi="Garamond" w:cs="Arial"/>
                <w:color w:val="000000" w:themeColor="text1"/>
              </w:rPr>
              <w:t>Bogotá D.C.</w:t>
            </w:r>
          </w:p>
        </w:tc>
        <w:tc>
          <w:tcPr>
            <w:tcW w:w="1161" w:type="pct"/>
            <w:vAlign w:val="center"/>
          </w:tcPr>
          <w:p w14:paraId="240D438A" w14:textId="77777777" w:rsidR="00D64467" w:rsidRPr="000113B8" w:rsidRDefault="00D64467" w:rsidP="00EC7684">
            <w:pPr>
              <w:jc w:val="center"/>
              <w:rPr>
                <w:rFonts w:ascii="Garamond" w:hAnsi="Garamond" w:cs="Arial"/>
                <w:noProof/>
                <w:color w:val="000000" w:themeColor="text1"/>
              </w:rPr>
            </w:pPr>
            <w:r w:rsidRPr="000113B8">
              <w:rPr>
                <w:rFonts w:ascii="Garamond" w:hAnsi="Garamond" w:cs="Arial"/>
                <w:noProof/>
                <w:color w:val="000000" w:themeColor="text1"/>
              </w:rPr>
              <w:drawing>
                <wp:inline distT="0" distB="0" distL="0" distR="0" wp14:anchorId="0883C0AA" wp14:editId="21C674FA">
                  <wp:extent cx="1028700" cy="590550"/>
                  <wp:effectExtent l="0" t="0" r="0" b="0"/>
                  <wp:docPr id="1340058484" name="Imagen 29" descr="Logotipo, nombre de la empres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descr="Logotipo, nombre de la empresa&#10;&#10;El contenido generado por IA puede ser incorrecto."/>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028700" cy="590550"/>
                          </a:xfrm>
                          <a:prstGeom prst="rect">
                            <a:avLst/>
                          </a:prstGeom>
                          <a:noFill/>
                          <a:ln>
                            <a:noFill/>
                          </a:ln>
                        </pic:spPr>
                      </pic:pic>
                    </a:graphicData>
                  </a:graphic>
                </wp:inline>
              </w:drawing>
            </w:r>
          </w:p>
        </w:tc>
      </w:tr>
      <w:tr w:rsidR="009A7F8F" w:rsidRPr="000113B8" w14:paraId="44396D99" w14:textId="77777777" w:rsidTr="00EC7684">
        <w:trPr>
          <w:trHeight w:val="1200"/>
          <w:jc w:val="center"/>
        </w:trPr>
        <w:tc>
          <w:tcPr>
            <w:tcW w:w="571" w:type="pct"/>
            <w:shd w:val="clear" w:color="auto" w:fill="F2F2F2"/>
            <w:vAlign w:val="center"/>
          </w:tcPr>
          <w:p w14:paraId="05989027" w14:textId="77777777" w:rsidR="00D64467" w:rsidRPr="000113B8" w:rsidRDefault="00D64467" w:rsidP="00EC7684">
            <w:pPr>
              <w:jc w:val="center"/>
              <w:rPr>
                <w:rFonts w:ascii="Garamond" w:hAnsi="Garamond" w:cs="Arial"/>
                <w:b/>
                <w:bCs/>
                <w:color w:val="000000" w:themeColor="text1"/>
              </w:rPr>
            </w:pPr>
            <w:r w:rsidRPr="000113B8">
              <w:rPr>
                <w:rFonts w:ascii="Garamond" w:hAnsi="Garamond" w:cs="Arial"/>
                <w:b/>
                <w:bCs/>
                <w:color w:val="000000" w:themeColor="text1"/>
              </w:rPr>
              <w:t>19</w:t>
            </w:r>
          </w:p>
        </w:tc>
        <w:tc>
          <w:tcPr>
            <w:tcW w:w="945" w:type="pct"/>
            <w:shd w:val="clear" w:color="auto" w:fill="F2F2F2"/>
            <w:vAlign w:val="center"/>
          </w:tcPr>
          <w:p w14:paraId="48DECE28" w14:textId="77777777" w:rsidR="00D64467" w:rsidRPr="000113B8" w:rsidRDefault="00D64467" w:rsidP="00EC7684">
            <w:pPr>
              <w:jc w:val="center"/>
              <w:rPr>
                <w:rFonts w:ascii="Garamond" w:hAnsi="Garamond" w:cs="Arial"/>
                <w:b/>
                <w:bCs/>
                <w:color w:val="000000" w:themeColor="text1"/>
              </w:rPr>
            </w:pPr>
            <w:r w:rsidRPr="000113B8">
              <w:rPr>
                <w:rFonts w:ascii="Garamond" w:hAnsi="Garamond" w:cs="Arial"/>
                <w:b/>
                <w:bCs/>
                <w:color w:val="000000" w:themeColor="text1"/>
              </w:rPr>
              <w:t>Seguros de Vida del Estado S.A.</w:t>
            </w:r>
          </w:p>
        </w:tc>
        <w:tc>
          <w:tcPr>
            <w:tcW w:w="708" w:type="pct"/>
            <w:shd w:val="clear" w:color="auto" w:fill="F2F2F2"/>
            <w:vAlign w:val="center"/>
          </w:tcPr>
          <w:p w14:paraId="2697B1E5" w14:textId="77777777" w:rsidR="00D64467" w:rsidRPr="000113B8" w:rsidRDefault="00D64467" w:rsidP="00EC7684">
            <w:pPr>
              <w:jc w:val="center"/>
              <w:rPr>
                <w:rFonts w:ascii="Garamond" w:hAnsi="Garamond" w:cs="Arial"/>
                <w:color w:val="000000" w:themeColor="text1"/>
              </w:rPr>
            </w:pPr>
            <w:r w:rsidRPr="000113B8">
              <w:rPr>
                <w:rFonts w:ascii="Garamond" w:hAnsi="Garamond" w:cs="Arial"/>
                <w:color w:val="000000" w:themeColor="text1"/>
              </w:rPr>
              <w:t>860009174-4</w:t>
            </w:r>
          </w:p>
        </w:tc>
        <w:tc>
          <w:tcPr>
            <w:tcW w:w="1098" w:type="pct"/>
            <w:shd w:val="clear" w:color="auto" w:fill="F2F2F2"/>
            <w:vAlign w:val="center"/>
          </w:tcPr>
          <w:p w14:paraId="24905E1B" w14:textId="77777777" w:rsidR="00D64467" w:rsidRPr="000113B8" w:rsidRDefault="00D64467" w:rsidP="00EC7684">
            <w:pPr>
              <w:jc w:val="center"/>
              <w:rPr>
                <w:rFonts w:ascii="Garamond" w:hAnsi="Garamond" w:cs="Arial"/>
                <w:color w:val="000000" w:themeColor="text1"/>
              </w:rPr>
            </w:pPr>
            <w:r w:rsidRPr="000113B8">
              <w:rPr>
                <w:rFonts w:ascii="Garamond" w:hAnsi="Garamond" w:cs="Arial"/>
                <w:color w:val="000000" w:themeColor="text1"/>
              </w:rPr>
              <w:t>Accidentes Personales, Colectivo de Vida, Vida Grupo, Salud y Vida Individual.</w:t>
            </w:r>
          </w:p>
        </w:tc>
        <w:tc>
          <w:tcPr>
            <w:tcW w:w="517" w:type="pct"/>
            <w:shd w:val="clear" w:color="auto" w:fill="F2F2F2"/>
            <w:vAlign w:val="center"/>
          </w:tcPr>
          <w:p w14:paraId="51770953" w14:textId="77777777" w:rsidR="00D64467" w:rsidRPr="000113B8" w:rsidRDefault="00D64467" w:rsidP="00EC7684">
            <w:pPr>
              <w:jc w:val="center"/>
              <w:rPr>
                <w:rFonts w:ascii="Garamond" w:hAnsi="Garamond" w:cs="Arial"/>
                <w:color w:val="000000" w:themeColor="text1"/>
              </w:rPr>
            </w:pPr>
            <w:r w:rsidRPr="000113B8">
              <w:rPr>
                <w:rFonts w:ascii="Garamond" w:hAnsi="Garamond" w:cs="Arial"/>
                <w:color w:val="000000" w:themeColor="text1"/>
              </w:rPr>
              <w:t>Bogotá D.C.</w:t>
            </w:r>
          </w:p>
        </w:tc>
        <w:tc>
          <w:tcPr>
            <w:tcW w:w="1161" w:type="pct"/>
            <w:shd w:val="clear" w:color="auto" w:fill="F2F2F2"/>
            <w:vAlign w:val="center"/>
          </w:tcPr>
          <w:p w14:paraId="5EAD94FC" w14:textId="77777777" w:rsidR="00D64467" w:rsidRPr="000113B8" w:rsidRDefault="00D64467" w:rsidP="00EC7684">
            <w:pPr>
              <w:jc w:val="center"/>
              <w:rPr>
                <w:rFonts w:ascii="Garamond" w:hAnsi="Garamond" w:cs="Arial"/>
                <w:noProof/>
                <w:color w:val="000000" w:themeColor="text1"/>
              </w:rPr>
            </w:pPr>
            <w:r w:rsidRPr="000113B8">
              <w:rPr>
                <w:rFonts w:ascii="Garamond" w:hAnsi="Garamond" w:cs="Arial"/>
                <w:noProof/>
                <w:color w:val="000000" w:themeColor="text1"/>
              </w:rPr>
              <w:drawing>
                <wp:inline distT="0" distB="0" distL="0" distR="0" wp14:anchorId="56F0A72D" wp14:editId="694A3FE3">
                  <wp:extent cx="1362075" cy="352425"/>
                  <wp:effectExtent l="0" t="0" r="9525" b="9525"/>
                  <wp:docPr id="1340196180"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362075" cy="352425"/>
                          </a:xfrm>
                          <a:prstGeom prst="rect">
                            <a:avLst/>
                          </a:prstGeom>
                          <a:noFill/>
                          <a:ln>
                            <a:noFill/>
                          </a:ln>
                        </pic:spPr>
                      </pic:pic>
                    </a:graphicData>
                  </a:graphic>
                </wp:inline>
              </w:drawing>
            </w:r>
          </w:p>
        </w:tc>
      </w:tr>
      <w:tr w:rsidR="009A7F8F" w:rsidRPr="000113B8" w14:paraId="00E59E36" w14:textId="77777777" w:rsidTr="00EC7684">
        <w:trPr>
          <w:trHeight w:val="1200"/>
          <w:jc w:val="center"/>
        </w:trPr>
        <w:tc>
          <w:tcPr>
            <w:tcW w:w="571" w:type="pct"/>
            <w:vAlign w:val="center"/>
          </w:tcPr>
          <w:p w14:paraId="6A2E6F8E" w14:textId="77777777" w:rsidR="00D64467" w:rsidRPr="000113B8" w:rsidRDefault="00D64467" w:rsidP="00EC7684">
            <w:pPr>
              <w:jc w:val="center"/>
              <w:rPr>
                <w:rFonts w:ascii="Garamond" w:hAnsi="Garamond" w:cs="Arial"/>
                <w:b/>
                <w:bCs/>
                <w:color w:val="000000" w:themeColor="text1"/>
              </w:rPr>
            </w:pPr>
            <w:r w:rsidRPr="000113B8">
              <w:rPr>
                <w:rFonts w:ascii="Garamond" w:hAnsi="Garamond" w:cs="Arial"/>
                <w:b/>
                <w:bCs/>
                <w:color w:val="000000" w:themeColor="text1"/>
              </w:rPr>
              <w:lastRenderedPageBreak/>
              <w:t>20</w:t>
            </w:r>
          </w:p>
        </w:tc>
        <w:tc>
          <w:tcPr>
            <w:tcW w:w="945" w:type="pct"/>
            <w:vAlign w:val="center"/>
            <w:hideMark/>
          </w:tcPr>
          <w:p w14:paraId="127A86C9" w14:textId="77777777" w:rsidR="00D64467" w:rsidRPr="000113B8" w:rsidRDefault="00D64467" w:rsidP="00EC7684">
            <w:pPr>
              <w:jc w:val="center"/>
              <w:rPr>
                <w:rFonts w:ascii="Garamond" w:hAnsi="Garamond" w:cs="Arial"/>
                <w:b/>
                <w:bCs/>
                <w:color w:val="000000" w:themeColor="text1"/>
              </w:rPr>
            </w:pPr>
            <w:r w:rsidRPr="000113B8">
              <w:rPr>
                <w:rFonts w:ascii="Garamond" w:hAnsi="Garamond" w:cs="Arial"/>
                <w:b/>
                <w:bCs/>
                <w:color w:val="000000" w:themeColor="text1"/>
              </w:rPr>
              <w:t>Seguros de Vida Suramericana S.A.</w:t>
            </w:r>
          </w:p>
        </w:tc>
        <w:tc>
          <w:tcPr>
            <w:tcW w:w="708" w:type="pct"/>
            <w:vAlign w:val="center"/>
            <w:hideMark/>
          </w:tcPr>
          <w:p w14:paraId="01918B97" w14:textId="77777777" w:rsidR="00D64467" w:rsidRPr="000113B8" w:rsidRDefault="00D64467" w:rsidP="00EC7684">
            <w:pPr>
              <w:jc w:val="center"/>
              <w:rPr>
                <w:rFonts w:ascii="Garamond" w:hAnsi="Garamond" w:cs="Arial"/>
                <w:color w:val="000000" w:themeColor="text1"/>
              </w:rPr>
            </w:pPr>
            <w:r w:rsidRPr="000113B8">
              <w:rPr>
                <w:rFonts w:ascii="Garamond" w:hAnsi="Garamond" w:cs="Arial"/>
                <w:color w:val="000000" w:themeColor="text1"/>
              </w:rPr>
              <w:t>890903790-5</w:t>
            </w:r>
          </w:p>
        </w:tc>
        <w:tc>
          <w:tcPr>
            <w:tcW w:w="1098" w:type="pct"/>
            <w:vAlign w:val="center"/>
          </w:tcPr>
          <w:p w14:paraId="47A4C6AB" w14:textId="77777777" w:rsidR="00D64467" w:rsidRPr="000113B8" w:rsidRDefault="00D64467" w:rsidP="00EC7684">
            <w:pPr>
              <w:jc w:val="center"/>
              <w:rPr>
                <w:rFonts w:ascii="Garamond" w:hAnsi="Garamond" w:cs="Arial"/>
                <w:color w:val="000000" w:themeColor="text1"/>
              </w:rPr>
            </w:pPr>
            <w:r w:rsidRPr="000113B8">
              <w:rPr>
                <w:rFonts w:ascii="Garamond" w:hAnsi="Garamond" w:cs="Arial"/>
                <w:color w:val="000000" w:themeColor="text1"/>
              </w:rPr>
              <w:t>Accidentes Personales, Salud, Pensiones Ley 100, Seguros Previsionales y Riesgos Profesionales, Seguros de Vida, de Grupo y Colectivo.</w:t>
            </w:r>
          </w:p>
        </w:tc>
        <w:tc>
          <w:tcPr>
            <w:tcW w:w="517" w:type="pct"/>
            <w:vAlign w:val="center"/>
            <w:hideMark/>
          </w:tcPr>
          <w:p w14:paraId="17666B69" w14:textId="77777777" w:rsidR="00D64467" w:rsidRPr="000113B8" w:rsidRDefault="00D64467" w:rsidP="00EC7684">
            <w:pPr>
              <w:jc w:val="center"/>
              <w:rPr>
                <w:rFonts w:ascii="Garamond" w:hAnsi="Garamond" w:cs="Arial"/>
                <w:color w:val="000000" w:themeColor="text1"/>
              </w:rPr>
            </w:pPr>
            <w:r w:rsidRPr="000113B8">
              <w:rPr>
                <w:rFonts w:ascii="Garamond" w:hAnsi="Garamond" w:cs="Arial"/>
                <w:color w:val="000000" w:themeColor="text1"/>
              </w:rPr>
              <w:t>Medellín (Antioquia)</w:t>
            </w:r>
          </w:p>
        </w:tc>
        <w:tc>
          <w:tcPr>
            <w:tcW w:w="1161" w:type="pct"/>
            <w:vAlign w:val="center"/>
          </w:tcPr>
          <w:p w14:paraId="4F335F8E" w14:textId="77777777" w:rsidR="00D64467" w:rsidRPr="000113B8" w:rsidRDefault="00D64467" w:rsidP="00EC7684">
            <w:pPr>
              <w:jc w:val="center"/>
              <w:rPr>
                <w:rFonts w:ascii="Garamond" w:hAnsi="Garamond" w:cs="Arial"/>
                <w:color w:val="000000" w:themeColor="text1"/>
              </w:rPr>
            </w:pPr>
            <w:r w:rsidRPr="000113B8">
              <w:rPr>
                <w:rFonts w:ascii="Garamond" w:hAnsi="Garamond" w:cs="Arial"/>
                <w:noProof/>
                <w:color w:val="000000" w:themeColor="text1"/>
              </w:rPr>
              <w:drawing>
                <wp:inline distT="0" distB="0" distL="0" distR="0" wp14:anchorId="6081DFCC" wp14:editId="71738A5F">
                  <wp:extent cx="1190625" cy="219075"/>
                  <wp:effectExtent l="0" t="0" r="9525" b="9525"/>
                  <wp:docPr id="2121072054"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90625" cy="219075"/>
                          </a:xfrm>
                          <a:prstGeom prst="rect">
                            <a:avLst/>
                          </a:prstGeom>
                          <a:noFill/>
                          <a:ln>
                            <a:noFill/>
                          </a:ln>
                        </pic:spPr>
                      </pic:pic>
                    </a:graphicData>
                  </a:graphic>
                </wp:inline>
              </w:drawing>
            </w:r>
          </w:p>
        </w:tc>
      </w:tr>
      <w:tr w:rsidR="009A7F8F" w:rsidRPr="000113B8" w14:paraId="7934CE6C" w14:textId="77777777" w:rsidTr="00EC7684">
        <w:trPr>
          <w:trHeight w:val="85"/>
          <w:jc w:val="center"/>
        </w:trPr>
        <w:tc>
          <w:tcPr>
            <w:tcW w:w="571" w:type="pct"/>
            <w:shd w:val="clear" w:color="auto" w:fill="F2F2F2"/>
            <w:vAlign w:val="center"/>
          </w:tcPr>
          <w:p w14:paraId="03F32602" w14:textId="77777777" w:rsidR="00D64467" w:rsidRPr="000113B8" w:rsidRDefault="00D64467" w:rsidP="00EC7684">
            <w:pPr>
              <w:jc w:val="center"/>
              <w:rPr>
                <w:rFonts w:ascii="Garamond" w:hAnsi="Garamond" w:cs="Arial"/>
                <w:b/>
                <w:bCs/>
                <w:color w:val="000000" w:themeColor="text1"/>
              </w:rPr>
            </w:pPr>
            <w:r w:rsidRPr="000113B8">
              <w:rPr>
                <w:rFonts w:ascii="Garamond" w:hAnsi="Garamond" w:cs="Arial"/>
                <w:b/>
                <w:bCs/>
                <w:color w:val="000000" w:themeColor="text1"/>
              </w:rPr>
              <w:t>21</w:t>
            </w:r>
          </w:p>
        </w:tc>
        <w:tc>
          <w:tcPr>
            <w:tcW w:w="945" w:type="pct"/>
            <w:shd w:val="clear" w:color="auto" w:fill="F2F2F2"/>
            <w:vAlign w:val="center"/>
          </w:tcPr>
          <w:p w14:paraId="2205CA89" w14:textId="77777777" w:rsidR="00D64467" w:rsidRPr="000113B8" w:rsidRDefault="00D64467" w:rsidP="00EC7684">
            <w:pPr>
              <w:jc w:val="center"/>
              <w:rPr>
                <w:rFonts w:ascii="Garamond" w:hAnsi="Garamond" w:cs="Arial"/>
                <w:b/>
                <w:bCs/>
                <w:color w:val="000000" w:themeColor="text1"/>
              </w:rPr>
            </w:pPr>
            <w:proofErr w:type="spellStart"/>
            <w:r w:rsidRPr="000113B8">
              <w:rPr>
                <w:rFonts w:ascii="Garamond" w:hAnsi="Garamond" w:cs="Arial"/>
                <w:b/>
                <w:bCs/>
                <w:color w:val="000000" w:themeColor="text1"/>
              </w:rPr>
              <w:t>Skandia</w:t>
            </w:r>
            <w:proofErr w:type="spellEnd"/>
            <w:r w:rsidRPr="000113B8">
              <w:rPr>
                <w:rFonts w:ascii="Garamond" w:hAnsi="Garamond" w:cs="Arial"/>
                <w:b/>
                <w:bCs/>
                <w:color w:val="000000" w:themeColor="text1"/>
              </w:rPr>
              <w:t xml:space="preserve"> Compañía de Seguros de Vida S.A.</w:t>
            </w:r>
          </w:p>
        </w:tc>
        <w:tc>
          <w:tcPr>
            <w:tcW w:w="708" w:type="pct"/>
            <w:shd w:val="clear" w:color="auto" w:fill="F2F2F2"/>
            <w:vAlign w:val="center"/>
          </w:tcPr>
          <w:p w14:paraId="5337A465" w14:textId="77777777" w:rsidR="00D64467" w:rsidRPr="000113B8" w:rsidRDefault="00D64467" w:rsidP="00EC7684">
            <w:pPr>
              <w:jc w:val="center"/>
              <w:rPr>
                <w:rFonts w:ascii="Garamond" w:hAnsi="Garamond" w:cs="Arial"/>
                <w:color w:val="000000" w:themeColor="text1"/>
              </w:rPr>
            </w:pPr>
            <w:r w:rsidRPr="000113B8">
              <w:rPr>
                <w:rFonts w:ascii="Garamond" w:hAnsi="Garamond" w:cs="Arial"/>
                <w:color w:val="000000" w:themeColor="text1"/>
              </w:rPr>
              <w:t>860002504-1</w:t>
            </w:r>
          </w:p>
        </w:tc>
        <w:tc>
          <w:tcPr>
            <w:tcW w:w="1098" w:type="pct"/>
            <w:shd w:val="clear" w:color="auto" w:fill="F2F2F2"/>
            <w:vAlign w:val="center"/>
          </w:tcPr>
          <w:p w14:paraId="18AAA134" w14:textId="77777777" w:rsidR="00D64467" w:rsidRPr="000113B8" w:rsidRDefault="00D64467" w:rsidP="00EC7684">
            <w:pPr>
              <w:jc w:val="center"/>
              <w:rPr>
                <w:rFonts w:ascii="Garamond" w:hAnsi="Garamond" w:cs="Arial"/>
                <w:color w:val="000000" w:themeColor="text1"/>
              </w:rPr>
            </w:pPr>
            <w:r w:rsidRPr="000113B8">
              <w:rPr>
                <w:rFonts w:ascii="Garamond" w:hAnsi="Garamond" w:cs="Arial"/>
                <w:color w:val="000000" w:themeColor="text1"/>
              </w:rPr>
              <w:t>Seguros de Vida</w:t>
            </w:r>
          </w:p>
        </w:tc>
        <w:tc>
          <w:tcPr>
            <w:tcW w:w="517" w:type="pct"/>
            <w:shd w:val="clear" w:color="auto" w:fill="F2F2F2"/>
            <w:vAlign w:val="center"/>
          </w:tcPr>
          <w:p w14:paraId="64F71644" w14:textId="77777777" w:rsidR="00D64467" w:rsidRPr="000113B8" w:rsidRDefault="00D64467" w:rsidP="00EC7684">
            <w:pPr>
              <w:jc w:val="center"/>
              <w:rPr>
                <w:rFonts w:ascii="Garamond" w:hAnsi="Garamond" w:cs="Arial"/>
                <w:color w:val="000000" w:themeColor="text1"/>
              </w:rPr>
            </w:pPr>
            <w:r w:rsidRPr="000113B8">
              <w:rPr>
                <w:rFonts w:ascii="Garamond" w:hAnsi="Garamond" w:cs="Arial"/>
                <w:color w:val="000000" w:themeColor="text1"/>
              </w:rPr>
              <w:t>Bogotá D.C.</w:t>
            </w:r>
          </w:p>
        </w:tc>
        <w:tc>
          <w:tcPr>
            <w:tcW w:w="1161" w:type="pct"/>
            <w:shd w:val="clear" w:color="auto" w:fill="F2F2F2"/>
            <w:vAlign w:val="center"/>
          </w:tcPr>
          <w:p w14:paraId="761E0864" w14:textId="77777777" w:rsidR="00D64467" w:rsidRPr="000113B8" w:rsidRDefault="00D64467" w:rsidP="00EC7684">
            <w:pPr>
              <w:jc w:val="center"/>
              <w:rPr>
                <w:rFonts w:ascii="Garamond" w:hAnsi="Garamond" w:cs="Arial"/>
                <w:color w:val="000000" w:themeColor="text1"/>
              </w:rPr>
            </w:pPr>
            <w:r w:rsidRPr="000113B8">
              <w:rPr>
                <w:rFonts w:ascii="Garamond" w:hAnsi="Garamond" w:cs="Arial"/>
                <w:noProof/>
                <w:color w:val="000000" w:themeColor="text1"/>
              </w:rPr>
              <w:drawing>
                <wp:inline distT="0" distB="0" distL="0" distR="0" wp14:anchorId="7890429D" wp14:editId="515874A6">
                  <wp:extent cx="1200150" cy="247650"/>
                  <wp:effectExtent l="0" t="0" r="0" b="0"/>
                  <wp:docPr id="1785940789"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200150" cy="247650"/>
                          </a:xfrm>
                          <a:prstGeom prst="rect">
                            <a:avLst/>
                          </a:prstGeom>
                          <a:noFill/>
                          <a:ln>
                            <a:noFill/>
                          </a:ln>
                        </pic:spPr>
                      </pic:pic>
                    </a:graphicData>
                  </a:graphic>
                </wp:inline>
              </w:drawing>
            </w:r>
          </w:p>
        </w:tc>
      </w:tr>
    </w:tbl>
    <w:bookmarkEnd w:id="19"/>
    <w:p w14:paraId="79E00D3A" w14:textId="77777777" w:rsidR="00D64467" w:rsidRPr="000113B8" w:rsidRDefault="00D64467" w:rsidP="00D64467">
      <w:pPr>
        <w:jc w:val="center"/>
        <w:rPr>
          <w:rFonts w:ascii="Garamond" w:hAnsi="Garamond" w:cs="Arial"/>
          <w:color w:val="000000" w:themeColor="text1"/>
        </w:rPr>
      </w:pPr>
      <w:r w:rsidRPr="000113B8">
        <w:rPr>
          <w:rFonts w:ascii="Garamond" w:hAnsi="Garamond" w:cs="Arial"/>
          <w:color w:val="000000" w:themeColor="text1"/>
        </w:rPr>
        <w:t xml:space="preserve">Fuente: Elaboración intermediario de seguros de la entidad JARGU S.A. CORREDORES DE SEGUROS con información pública de </w:t>
      </w:r>
      <w:proofErr w:type="spellStart"/>
      <w:r w:rsidRPr="000113B8">
        <w:rPr>
          <w:rFonts w:ascii="Garamond" w:hAnsi="Garamond" w:cs="Arial"/>
          <w:color w:val="000000" w:themeColor="text1"/>
        </w:rPr>
        <w:t>Fasecolda</w:t>
      </w:r>
      <w:proofErr w:type="spellEnd"/>
      <w:r w:rsidRPr="000113B8">
        <w:rPr>
          <w:rFonts w:ascii="Garamond" w:hAnsi="Garamond" w:cs="Arial"/>
          <w:color w:val="000000" w:themeColor="text1"/>
        </w:rPr>
        <w:t xml:space="preserve"> en su portal web</w:t>
      </w:r>
    </w:p>
    <w:bookmarkEnd w:id="20"/>
    <w:p w14:paraId="23685DFD" w14:textId="77777777" w:rsidR="00D64467" w:rsidRPr="000113B8" w:rsidRDefault="00D64467" w:rsidP="00D64467">
      <w:pPr>
        <w:jc w:val="center"/>
        <w:rPr>
          <w:rFonts w:ascii="Garamond" w:hAnsi="Garamond" w:cs="Arial"/>
          <w:color w:val="000000" w:themeColor="text1"/>
        </w:rPr>
      </w:pPr>
    </w:p>
    <w:p w14:paraId="75EA6662" w14:textId="77777777" w:rsidR="00D64467" w:rsidRPr="000113B8" w:rsidRDefault="00D64467" w:rsidP="00D64467">
      <w:pPr>
        <w:jc w:val="both"/>
        <w:rPr>
          <w:rFonts w:ascii="Garamond" w:hAnsi="Garamond" w:cs="Arial"/>
          <w:bCs/>
          <w:color w:val="000000" w:themeColor="text1"/>
        </w:rPr>
      </w:pPr>
      <w:bookmarkStart w:id="21" w:name="_Hlk220065552"/>
      <w:r w:rsidRPr="000113B8">
        <w:rPr>
          <w:rFonts w:ascii="Garamond" w:hAnsi="Garamond" w:cs="Arial"/>
          <w:bCs/>
          <w:color w:val="000000" w:themeColor="text1"/>
        </w:rPr>
        <w:t>En ese orden de ideas, a continuación, se relacionan las compañías de seguros que, normalmente y con frecuencia, suscriben riesgos de entidades estatales:</w:t>
      </w:r>
    </w:p>
    <w:p w14:paraId="3C66B5A3" w14:textId="77777777" w:rsidR="00D64467" w:rsidRPr="000113B8" w:rsidRDefault="00D64467" w:rsidP="00D64467">
      <w:pPr>
        <w:jc w:val="both"/>
        <w:rPr>
          <w:rFonts w:ascii="Garamond" w:hAnsi="Garamond" w:cs="Arial"/>
          <w:bCs/>
          <w:color w:val="000000" w:themeColor="text1"/>
        </w:rPr>
      </w:pPr>
    </w:p>
    <w:tbl>
      <w:tblPr>
        <w:tblW w:w="5000" w:type="pct"/>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939"/>
        <w:gridCol w:w="8411"/>
      </w:tblGrid>
      <w:tr w:rsidR="009A7F8F" w:rsidRPr="000113B8" w14:paraId="56508E4D" w14:textId="77777777" w:rsidTr="00EC7684">
        <w:trPr>
          <w:trHeight w:val="524"/>
        </w:trPr>
        <w:tc>
          <w:tcPr>
            <w:tcW w:w="502" w:type="pct"/>
            <w:vAlign w:val="center"/>
            <w:hideMark/>
          </w:tcPr>
          <w:p w14:paraId="4B5307C1" w14:textId="77777777" w:rsidR="00D64467" w:rsidRPr="000113B8" w:rsidRDefault="00D64467" w:rsidP="00EC7684">
            <w:pPr>
              <w:jc w:val="center"/>
              <w:rPr>
                <w:rFonts w:ascii="Garamond" w:hAnsi="Garamond" w:cs="Arial"/>
                <w:b/>
                <w:bCs/>
                <w:color w:val="000000" w:themeColor="text1"/>
              </w:rPr>
            </w:pPr>
            <w:r w:rsidRPr="000113B8">
              <w:rPr>
                <w:rFonts w:ascii="Garamond" w:hAnsi="Garamond" w:cs="Arial"/>
                <w:b/>
                <w:bCs/>
                <w:color w:val="000000" w:themeColor="text1"/>
              </w:rPr>
              <w:t>NO.</w:t>
            </w:r>
          </w:p>
        </w:tc>
        <w:tc>
          <w:tcPr>
            <w:tcW w:w="4498" w:type="pct"/>
            <w:vAlign w:val="center"/>
            <w:hideMark/>
          </w:tcPr>
          <w:p w14:paraId="4B5D5346" w14:textId="77777777" w:rsidR="00D64467" w:rsidRPr="000113B8" w:rsidRDefault="00D64467" w:rsidP="00EC7684">
            <w:pPr>
              <w:jc w:val="center"/>
              <w:rPr>
                <w:rFonts w:ascii="Garamond" w:hAnsi="Garamond" w:cs="Arial"/>
                <w:b/>
                <w:bCs/>
                <w:color w:val="000000" w:themeColor="text1"/>
              </w:rPr>
            </w:pPr>
            <w:r w:rsidRPr="000113B8">
              <w:rPr>
                <w:rFonts w:ascii="Garamond" w:hAnsi="Garamond" w:cs="Arial"/>
                <w:b/>
                <w:bCs/>
                <w:color w:val="000000" w:themeColor="text1"/>
              </w:rPr>
              <w:t>DENOMINACIÓN SOCIAL DE LA ENTIDAD</w:t>
            </w:r>
          </w:p>
        </w:tc>
      </w:tr>
      <w:tr w:rsidR="009A7F8F" w:rsidRPr="000113B8" w14:paraId="790FA669" w14:textId="77777777" w:rsidTr="00EC7684">
        <w:trPr>
          <w:trHeight w:val="330"/>
        </w:trPr>
        <w:tc>
          <w:tcPr>
            <w:tcW w:w="502" w:type="pct"/>
            <w:shd w:val="clear" w:color="auto" w:fill="F2F2F2"/>
            <w:noWrap/>
            <w:vAlign w:val="center"/>
            <w:hideMark/>
          </w:tcPr>
          <w:p w14:paraId="6B70130F" w14:textId="77777777" w:rsidR="00D64467" w:rsidRPr="000113B8" w:rsidRDefault="00D64467" w:rsidP="00EC7684">
            <w:pPr>
              <w:jc w:val="center"/>
              <w:rPr>
                <w:rFonts w:ascii="Garamond" w:hAnsi="Garamond" w:cs="Arial"/>
                <w:b/>
                <w:bCs/>
                <w:color w:val="000000" w:themeColor="text1"/>
              </w:rPr>
            </w:pPr>
            <w:r w:rsidRPr="000113B8">
              <w:rPr>
                <w:rFonts w:ascii="Garamond" w:hAnsi="Garamond" w:cs="Arial"/>
                <w:b/>
                <w:bCs/>
                <w:color w:val="000000" w:themeColor="text1"/>
              </w:rPr>
              <w:t>1</w:t>
            </w:r>
          </w:p>
        </w:tc>
        <w:tc>
          <w:tcPr>
            <w:tcW w:w="4498" w:type="pct"/>
            <w:shd w:val="clear" w:color="auto" w:fill="F2F2F2"/>
            <w:vAlign w:val="center"/>
          </w:tcPr>
          <w:p w14:paraId="459826A7" w14:textId="77777777" w:rsidR="00D64467" w:rsidRPr="000113B8" w:rsidRDefault="00D64467" w:rsidP="00EC7684">
            <w:pPr>
              <w:rPr>
                <w:rFonts w:ascii="Garamond" w:hAnsi="Garamond" w:cs="Arial"/>
                <w:bCs/>
                <w:color w:val="000000" w:themeColor="text1"/>
              </w:rPr>
            </w:pPr>
            <w:r w:rsidRPr="000113B8">
              <w:rPr>
                <w:rFonts w:ascii="Garamond" w:eastAsia="Batang" w:hAnsi="Garamond" w:cs="Arial"/>
                <w:bCs/>
                <w:color w:val="000000" w:themeColor="text1"/>
              </w:rPr>
              <w:t>ALLIANZ SEGUROS DE VIDA S.A. - ALLIANZ SEGUROS S.A.</w:t>
            </w:r>
          </w:p>
        </w:tc>
      </w:tr>
      <w:tr w:rsidR="009A7F8F" w:rsidRPr="000113B8" w14:paraId="174A0CC3" w14:textId="77777777" w:rsidTr="00EC7684">
        <w:trPr>
          <w:trHeight w:val="330"/>
        </w:trPr>
        <w:tc>
          <w:tcPr>
            <w:tcW w:w="502" w:type="pct"/>
            <w:noWrap/>
            <w:vAlign w:val="center"/>
            <w:hideMark/>
          </w:tcPr>
          <w:p w14:paraId="2E43DEE7" w14:textId="77777777" w:rsidR="00D64467" w:rsidRPr="000113B8" w:rsidRDefault="00D64467" w:rsidP="00EC7684">
            <w:pPr>
              <w:jc w:val="center"/>
              <w:rPr>
                <w:rFonts w:ascii="Garamond" w:hAnsi="Garamond" w:cs="Arial"/>
                <w:b/>
                <w:bCs/>
                <w:color w:val="000000" w:themeColor="text1"/>
              </w:rPr>
            </w:pPr>
            <w:r w:rsidRPr="000113B8">
              <w:rPr>
                <w:rFonts w:ascii="Garamond" w:hAnsi="Garamond" w:cs="Arial"/>
                <w:b/>
                <w:bCs/>
                <w:color w:val="000000" w:themeColor="text1"/>
              </w:rPr>
              <w:t>2</w:t>
            </w:r>
          </w:p>
        </w:tc>
        <w:tc>
          <w:tcPr>
            <w:tcW w:w="4498" w:type="pct"/>
            <w:noWrap/>
            <w:vAlign w:val="center"/>
          </w:tcPr>
          <w:p w14:paraId="7CCB1DFA" w14:textId="77777777" w:rsidR="00D64467" w:rsidRPr="000113B8" w:rsidRDefault="00D64467" w:rsidP="00EC7684">
            <w:pPr>
              <w:rPr>
                <w:rFonts w:ascii="Garamond" w:hAnsi="Garamond" w:cs="Arial"/>
                <w:bCs/>
                <w:color w:val="000000" w:themeColor="text1"/>
              </w:rPr>
            </w:pPr>
            <w:r w:rsidRPr="000113B8">
              <w:rPr>
                <w:rFonts w:ascii="Garamond" w:eastAsia="Batang" w:hAnsi="Garamond" w:cs="Arial"/>
                <w:color w:val="000000" w:themeColor="text1"/>
              </w:rPr>
              <w:t>ASEGURADORA SOLIDARIA DE COLOMBIA E.C.</w:t>
            </w:r>
          </w:p>
        </w:tc>
      </w:tr>
      <w:tr w:rsidR="009A7F8F" w:rsidRPr="000113B8" w14:paraId="06899815" w14:textId="77777777" w:rsidTr="00EC7684">
        <w:trPr>
          <w:trHeight w:val="330"/>
        </w:trPr>
        <w:tc>
          <w:tcPr>
            <w:tcW w:w="502" w:type="pct"/>
            <w:shd w:val="clear" w:color="auto" w:fill="F2F2F2"/>
            <w:noWrap/>
            <w:vAlign w:val="center"/>
            <w:hideMark/>
          </w:tcPr>
          <w:p w14:paraId="0ED861F2" w14:textId="77777777" w:rsidR="00D64467" w:rsidRPr="000113B8" w:rsidRDefault="00D64467" w:rsidP="00EC7684">
            <w:pPr>
              <w:jc w:val="center"/>
              <w:rPr>
                <w:rFonts w:ascii="Garamond" w:hAnsi="Garamond" w:cs="Arial"/>
                <w:b/>
                <w:bCs/>
                <w:color w:val="000000" w:themeColor="text1"/>
              </w:rPr>
            </w:pPr>
            <w:r w:rsidRPr="000113B8">
              <w:rPr>
                <w:rFonts w:ascii="Garamond" w:hAnsi="Garamond" w:cs="Arial"/>
                <w:b/>
                <w:bCs/>
                <w:color w:val="000000" w:themeColor="text1"/>
              </w:rPr>
              <w:t>3</w:t>
            </w:r>
          </w:p>
        </w:tc>
        <w:tc>
          <w:tcPr>
            <w:tcW w:w="4498" w:type="pct"/>
            <w:shd w:val="clear" w:color="auto" w:fill="F2F2F2"/>
            <w:vAlign w:val="center"/>
          </w:tcPr>
          <w:p w14:paraId="1E3230DF" w14:textId="77777777" w:rsidR="00D64467" w:rsidRPr="000113B8" w:rsidRDefault="00D64467" w:rsidP="00EC7684">
            <w:pPr>
              <w:rPr>
                <w:rFonts w:ascii="Garamond" w:hAnsi="Garamond" w:cs="Arial"/>
                <w:bCs/>
                <w:color w:val="000000" w:themeColor="text1"/>
                <w:lang w:val="pt-PT"/>
              </w:rPr>
            </w:pPr>
            <w:r w:rsidRPr="000113B8">
              <w:rPr>
                <w:rFonts w:ascii="Garamond" w:eastAsia="Batang" w:hAnsi="Garamond" w:cs="Arial"/>
                <w:color w:val="000000" w:themeColor="text1"/>
                <w:lang w:val="pt-PT"/>
              </w:rPr>
              <w:t>AXA COLPATRIA SEGUROS DE VIDA S.A. - AXA COLPATRIA SEGUROS S.A.</w:t>
            </w:r>
          </w:p>
        </w:tc>
      </w:tr>
      <w:tr w:rsidR="009A7F8F" w:rsidRPr="000113B8" w14:paraId="65819CFA" w14:textId="77777777" w:rsidTr="00EC7684">
        <w:trPr>
          <w:trHeight w:val="330"/>
        </w:trPr>
        <w:tc>
          <w:tcPr>
            <w:tcW w:w="502" w:type="pct"/>
            <w:noWrap/>
            <w:vAlign w:val="center"/>
          </w:tcPr>
          <w:p w14:paraId="679C1287" w14:textId="77777777" w:rsidR="00D64467" w:rsidRPr="000113B8" w:rsidRDefault="00D64467" w:rsidP="00EC7684">
            <w:pPr>
              <w:jc w:val="center"/>
              <w:rPr>
                <w:rFonts w:ascii="Garamond" w:hAnsi="Garamond" w:cs="Arial"/>
                <w:b/>
                <w:bCs/>
                <w:color w:val="000000" w:themeColor="text1"/>
              </w:rPr>
            </w:pPr>
            <w:r w:rsidRPr="000113B8">
              <w:rPr>
                <w:rFonts w:ascii="Garamond" w:hAnsi="Garamond" w:cs="Arial"/>
                <w:b/>
                <w:bCs/>
                <w:color w:val="000000" w:themeColor="text1"/>
              </w:rPr>
              <w:t>4</w:t>
            </w:r>
          </w:p>
        </w:tc>
        <w:tc>
          <w:tcPr>
            <w:tcW w:w="4498" w:type="pct"/>
            <w:vAlign w:val="center"/>
          </w:tcPr>
          <w:p w14:paraId="697FA805" w14:textId="77777777" w:rsidR="00D64467" w:rsidRPr="000113B8" w:rsidRDefault="00D64467" w:rsidP="00EC7684">
            <w:pPr>
              <w:rPr>
                <w:rFonts w:ascii="Garamond" w:hAnsi="Garamond" w:cs="Arial"/>
                <w:bCs/>
                <w:color w:val="000000" w:themeColor="text1"/>
              </w:rPr>
            </w:pPr>
            <w:r w:rsidRPr="000113B8">
              <w:rPr>
                <w:rFonts w:ascii="Garamond" w:eastAsia="Batang" w:hAnsi="Garamond" w:cs="Arial"/>
                <w:color w:val="000000" w:themeColor="text1"/>
              </w:rPr>
              <w:t>BMI COLOMBIA COMPAÑIA DE SEGUROS DE VIDA S.A.</w:t>
            </w:r>
          </w:p>
        </w:tc>
      </w:tr>
      <w:tr w:rsidR="009A7F8F" w:rsidRPr="000113B8" w14:paraId="2C33E40B" w14:textId="77777777" w:rsidTr="00EC7684">
        <w:trPr>
          <w:trHeight w:val="330"/>
        </w:trPr>
        <w:tc>
          <w:tcPr>
            <w:tcW w:w="502" w:type="pct"/>
            <w:shd w:val="clear" w:color="auto" w:fill="F2F2F2"/>
            <w:noWrap/>
            <w:vAlign w:val="center"/>
            <w:hideMark/>
          </w:tcPr>
          <w:p w14:paraId="40589639" w14:textId="77777777" w:rsidR="00D64467" w:rsidRPr="000113B8" w:rsidRDefault="00D64467" w:rsidP="00EC7684">
            <w:pPr>
              <w:jc w:val="center"/>
              <w:rPr>
                <w:rFonts w:ascii="Garamond" w:hAnsi="Garamond" w:cs="Arial"/>
                <w:b/>
                <w:bCs/>
                <w:color w:val="000000" w:themeColor="text1"/>
              </w:rPr>
            </w:pPr>
            <w:r w:rsidRPr="000113B8">
              <w:rPr>
                <w:rFonts w:ascii="Garamond" w:hAnsi="Garamond" w:cs="Arial"/>
                <w:b/>
                <w:bCs/>
                <w:color w:val="000000" w:themeColor="text1"/>
              </w:rPr>
              <w:t>5</w:t>
            </w:r>
          </w:p>
        </w:tc>
        <w:tc>
          <w:tcPr>
            <w:tcW w:w="4498" w:type="pct"/>
            <w:shd w:val="clear" w:color="auto" w:fill="F2F2F2"/>
            <w:vAlign w:val="center"/>
          </w:tcPr>
          <w:p w14:paraId="75AEBF28" w14:textId="77777777" w:rsidR="00D64467" w:rsidRPr="000113B8" w:rsidRDefault="00D64467" w:rsidP="00EC7684">
            <w:pPr>
              <w:rPr>
                <w:rFonts w:ascii="Garamond" w:hAnsi="Garamond" w:cs="Arial"/>
                <w:bCs/>
                <w:color w:val="000000" w:themeColor="text1"/>
              </w:rPr>
            </w:pPr>
            <w:r w:rsidRPr="000113B8">
              <w:rPr>
                <w:rFonts w:ascii="Garamond" w:eastAsia="Batang" w:hAnsi="Garamond" w:cs="Arial"/>
                <w:color w:val="000000" w:themeColor="text1"/>
              </w:rPr>
              <w:t>CHUBB SEGUROS COLOMBIA S.A.</w:t>
            </w:r>
          </w:p>
        </w:tc>
      </w:tr>
      <w:tr w:rsidR="009A7F8F" w:rsidRPr="000113B8" w14:paraId="7F191A97" w14:textId="77777777" w:rsidTr="00EC7684">
        <w:trPr>
          <w:trHeight w:val="330"/>
        </w:trPr>
        <w:tc>
          <w:tcPr>
            <w:tcW w:w="502" w:type="pct"/>
            <w:noWrap/>
            <w:vAlign w:val="center"/>
            <w:hideMark/>
          </w:tcPr>
          <w:p w14:paraId="35013A10" w14:textId="77777777" w:rsidR="00D64467" w:rsidRPr="000113B8" w:rsidRDefault="00D64467" w:rsidP="00EC7684">
            <w:pPr>
              <w:jc w:val="center"/>
              <w:rPr>
                <w:rFonts w:ascii="Garamond" w:hAnsi="Garamond" w:cs="Arial"/>
                <w:b/>
                <w:bCs/>
                <w:color w:val="000000" w:themeColor="text1"/>
              </w:rPr>
            </w:pPr>
            <w:r w:rsidRPr="000113B8">
              <w:rPr>
                <w:rFonts w:ascii="Garamond" w:hAnsi="Garamond" w:cs="Arial"/>
                <w:b/>
                <w:bCs/>
                <w:color w:val="000000" w:themeColor="text1"/>
              </w:rPr>
              <w:t>6</w:t>
            </w:r>
          </w:p>
        </w:tc>
        <w:tc>
          <w:tcPr>
            <w:tcW w:w="4498" w:type="pct"/>
            <w:vAlign w:val="center"/>
          </w:tcPr>
          <w:p w14:paraId="7EBE263E" w14:textId="77777777" w:rsidR="00D64467" w:rsidRPr="000113B8" w:rsidRDefault="00D64467" w:rsidP="00EC7684">
            <w:pPr>
              <w:rPr>
                <w:rFonts w:ascii="Garamond" w:hAnsi="Garamond" w:cs="Arial"/>
                <w:bCs/>
                <w:color w:val="000000" w:themeColor="text1"/>
              </w:rPr>
            </w:pPr>
            <w:r w:rsidRPr="000113B8">
              <w:rPr>
                <w:rFonts w:ascii="Garamond" w:eastAsia="Batang" w:hAnsi="Garamond" w:cs="Arial"/>
                <w:color w:val="000000" w:themeColor="text1"/>
              </w:rPr>
              <w:t>COMPAÑIA ASEGURADORA DE FIANZAS S.A. (SEGUROS CONFIANZA S.A.)</w:t>
            </w:r>
          </w:p>
        </w:tc>
      </w:tr>
      <w:tr w:rsidR="009A7F8F" w:rsidRPr="000113B8" w14:paraId="3E6B3CB4" w14:textId="77777777" w:rsidTr="00EC7684">
        <w:trPr>
          <w:trHeight w:val="330"/>
        </w:trPr>
        <w:tc>
          <w:tcPr>
            <w:tcW w:w="502" w:type="pct"/>
            <w:shd w:val="clear" w:color="auto" w:fill="F2F2F2"/>
            <w:noWrap/>
            <w:vAlign w:val="center"/>
            <w:hideMark/>
          </w:tcPr>
          <w:p w14:paraId="77BA3031" w14:textId="77777777" w:rsidR="00D64467" w:rsidRPr="000113B8" w:rsidRDefault="00D64467" w:rsidP="00EC7684">
            <w:pPr>
              <w:jc w:val="center"/>
              <w:rPr>
                <w:rFonts w:ascii="Garamond" w:hAnsi="Garamond" w:cs="Arial"/>
                <w:b/>
                <w:bCs/>
                <w:color w:val="000000" w:themeColor="text1"/>
              </w:rPr>
            </w:pPr>
            <w:r w:rsidRPr="000113B8">
              <w:rPr>
                <w:rFonts w:ascii="Garamond" w:hAnsi="Garamond" w:cs="Arial"/>
                <w:b/>
                <w:bCs/>
                <w:color w:val="000000" w:themeColor="text1"/>
              </w:rPr>
              <w:t>7</w:t>
            </w:r>
          </w:p>
        </w:tc>
        <w:tc>
          <w:tcPr>
            <w:tcW w:w="4498" w:type="pct"/>
            <w:shd w:val="clear" w:color="auto" w:fill="F2F2F2"/>
            <w:vAlign w:val="center"/>
          </w:tcPr>
          <w:p w14:paraId="3CD7D09F" w14:textId="77777777" w:rsidR="00D64467" w:rsidRPr="000113B8" w:rsidRDefault="00D64467" w:rsidP="00EC7684">
            <w:pPr>
              <w:rPr>
                <w:rFonts w:ascii="Garamond" w:hAnsi="Garamond" w:cs="Arial"/>
                <w:bCs/>
                <w:color w:val="000000" w:themeColor="text1"/>
              </w:rPr>
            </w:pPr>
            <w:r w:rsidRPr="000113B8">
              <w:rPr>
                <w:rFonts w:ascii="Garamond" w:eastAsia="Batang" w:hAnsi="Garamond" w:cs="Arial"/>
                <w:color w:val="000000" w:themeColor="text1"/>
              </w:rPr>
              <w:t>COMPAÑÍA DE SEGUROS DE VIDA AURORA S.A.</w:t>
            </w:r>
          </w:p>
        </w:tc>
      </w:tr>
      <w:tr w:rsidR="009A7F8F" w:rsidRPr="000113B8" w14:paraId="2CBFFD2D" w14:textId="77777777" w:rsidTr="00EC7684">
        <w:trPr>
          <w:trHeight w:val="330"/>
        </w:trPr>
        <w:tc>
          <w:tcPr>
            <w:tcW w:w="502" w:type="pct"/>
            <w:noWrap/>
            <w:vAlign w:val="center"/>
            <w:hideMark/>
          </w:tcPr>
          <w:p w14:paraId="3304902C" w14:textId="77777777" w:rsidR="00D64467" w:rsidRPr="000113B8" w:rsidRDefault="00D64467" w:rsidP="00EC7684">
            <w:pPr>
              <w:jc w:val="center"/>
              <w:rPr>
                <w:rFonts w:ascii="Garamond" w:hAnsi="Garamond" w:cs="Arial"/>
                <w:b/>
                <w:bCs/>
                <w:color w:val="000000" w:themeColor="text1"/>
              </w:rPr>
            </w:pPr>
            <w:r w:rsidRPr="000113B8">
              <w:rPr>
                <w:rFonts w:ascii="Garamond" w:hAnsi="Garamond" w:cs="Arial"/>
                <w:b/>
                <w:bCs/>
                <w:color w:val="000000" w:themeColor="text1"/>
              </w:rPr>
              <w:t>8</w:t>
            </w:r>
          </w:p>
        </w:tc>
        <w:tc>
          <w:tcPr>
            <w:tcW w:w="4498" w:type="pct"/>
            <w:vAlign w:val="center"/>
          </w:tcPr>
          <w:p w14:paraId="511BA619" w14:textId="77777777" w:rsidR="00D64467" w:rsidRPr="000113B8" w:rsidRDefault="00D64467" w:rsidP="00EC7684">
            <w:pPr>
              <w:rPr>
                <w:rFonts w:ascii="Garamond" w:hAnsi="Garamond" w:cs="Arial"/>
                <w:bCs/>
                <w:color w:val="000000" w:themeColor="text1"/>
              </w:rPr>
            </w:pPr>
            <w:r w:rsidRPr="000113B8">
              <w:rPr>
                <w:rFonts w:ascii="Garamond" w:eastAsia="Batang" w:hAnsi="Garamond" w:cs="Arial"/>
                <w:color w:val="000000" w:themeColor="text1"/>
              </w:rPr>
              <w:t>COMPAÑÍA MUNDIAL DE SEGUROS S.A.</w:t>
            </w:r>
          </w:p>
        </w:tc>
      </w:tr>
      <w:tr w:rsidR="009A7F8F" w:rsidRPr="000113B8" w14:paraId="5A622A6E" w14:textId="77777777" w:rsidTr="00EC7684">
        <w:trPr>
          <w:trHeight w:val="330"/>
        </w:trPr>
        <w:tc>
          <w:tcPr>
            <w:tcW w:w="502" w:type="pct"/>
            <w:shd w:val="clear" w:color="auto" w:fill="F2F2F2"/>
            <w:noWrap/>
            <w:vAlign w:val="center"/>
            <w:hideMark/>
          </w:tcPr>
          <w:p w14:paraId="5C6076FF" w14:textId="77777777" w:rsidR="00D64467" w:rsidRPr="000113B8" w:rsidRDefault="00D64467" w:rsidP="00EC7684">
            <w:pPr>
              <w:jc w:val="center"/>
              <w:rPr>
                <w:rFonts w:ascii="Garamond" w:hAnsi="Garamond" w:cs="Arial"/>
                <w:b/>
                <w:bCs/>
                <w:color w:val="000000" w:themeColor="text1"/>
              </w:rPr>
            </w:pPr>
            <w:r w:rsidRPr="000113B8">
              <w:rPr>
                <w:rFonts w:ascii="Garamond" w:hAnsi="Garamond" w:cs="Arial"/>
                <w:b/>
                <w:bCs/>
                <w:color w:val="000000" w:themeColor="text1"/>
              </w:rPr>
              <w:t>9</w:t>
            </w:r>
          </w:p>
        </w:tc>
        <w:tc>
          <w:tcPr>
            <w:tcW w:w="4498" w:type="pct"/>
            <w:shd w:val="clear" w:color="auto" w:fill="F2F2F2"/>
            <w:vAlign w:val="center"/>
          </w:tcPr>
          <w:p w14:paraId="7BC1F1B2" w14:textId="77777777" w:rsidR="00D64467" w:rsidRPr="000113B8" w:rsidRDefault="00D64467" w:rsidP="00EC7684">
            <w:pPr>
              <w:rPr>
                <w:rFonts w:ascii="Garamond" w:hAnsi="Garamond" w:cs="Arial"/>
                <w:bCs/>
                <w:color w:val="000000" w:themeColor="text1"/>
              </w:rPr>
            </w:pPr>
            <w:r w:rsidRPr="000113B8">
              <w:rPr>
                <w:rFonts w:ascii="Garamond" w:eastAsia="Batang" w:hAnsi="Garamond" w:cs="Arial"/>
                <w:color w:val="000000" w:themeColor="text1"/>
              </w:rPr>
              <w:t>HDI SEGUROS COLOMBIA S.A.</w:t>
            </w:r>
          </w:p>
        </w:tc>
      </w:tr>
      <w:tr w:rsidR="009A7F8F" w:rsidRPr="000113B8" w14:paraId="3825AD0F" w14:textId="77777777" w:rsidTr="00EC7684">
        <w:trPr>
          <w:trHeight w:val="330"/>
        </w:trPr>
        <w:tc>
          <w:tcPr>
            <w:tcW w:w="502" w:type="pct"/>
            <w:noWrap/>
            <w:vAlign w:val="center"/>
            <w:hideMark/>
          </w:tcPr>
          <w:p w14:paraId="0302A60A" w14:textId="77777777" w:rsidR="00D64467" w:rsidRPr="000113B8" w:rsidRDefault="00D64467" w:rsidP="00EC7684">
            <w:pPr>
              <w:jc w:val="center"/>
              <w:rPr>
                <w:rFonts w:ascii="Garamond" w:hAnsi="Garamond" w:cs="Arial"/>
                <w:b/>
                <w:bCs/>
                <w:color w:val="000000" w:themeColor="text1"/>
              </w:rPr>
            </w:pPr>
            <w:r w:rsidRPr="000113B8">
              <w:rPr>
                <w:rFonts w:ascii="Garamond" w:hAnsi="Garamond" w:cs="Arial"/>
                <w:b/>
                <w:bCs/>
                <w:color w:val="000000" w:themeColor="text1"/>
              </w:rPr>
              <w:t>10</w:t>
            </w:r>
          </w:p>
        </w:tc>
        <w:tc>
          <w:tcPr>
            <w:tcW w:w="4498" w:type="pct"/>
            <w:vAlign w:val="center"/>
          </w:tcPr>
          <w:p w14:paraId="17A88C93" w14:textId="77777777" w:rsidR="00D64467" w:rsidRPr="000113B8" w:rsidRDefault="00D64467" w:rsidP="00EC7684">
            <w:pPr>
              <w:rPr>
                <w:rFonts w:ascii="Garamond" w:hAnsi="Garamond" w:cs="Arial"/>
                <w:bCs/>
                <w:color w:val="000000" w:themeColor="text1"/>
              </w:rPr>
            </w:pPr>
            <w:r w:rsidRPr="000113B8">
              <w:rPr>
                <w:rFonts w:ascii="Garamond" w:eastAsia="Batang" w:hAnsi="Garamond" w:cs="Arial"/>
                <w:color w:val="000000" w:themeColor="text1"/>
              </w:rPr>
              <w:t>LA PREVISORA S.A. COMPAÑÍA DE SEGUROS</w:t>
            </w:r>
          </w:p>
        </w:tc>
      </w:tr>
      <w:tr w:rsidR="009A7F8F" w:rsidRPr="000113B8" w14:paraId="42E9AE72" w14:textId="77777777" w:rsidTr="00EC7684">
        <w:trPr>
          <w:trHeight w:val="330"/>
        </w:trPr>
        <w:tc>
          <w:tcPr>
            <w:tcW w:w="502" w:type="pct"/>
            <w:shd w:val="clear" w:color="auto" w:fill="F2F2F2"/>
            <w:noWrap/>
            <w:vAlign w:val="center"/>
            <w:hideMark/>
          </w:tcPr>
          <w:p w14:paraId="186CF823" w14:textId="77777777" w:rsidR="00D64467" w:rsidRPr="000113B8" w:rsidRDefault="00D64467" w:rsidP="00EC7684">
            <w:pPr>
              <w:jc w:val="center"/>
              <w:rPr>
                <w:rFonts w:ascii="Garamond" w:hAnsi="Garamond" w:cs="Arial"/>
                <w:b/>
                <w:bCs/>
                <w:color w:val="000000" w:themeColor="text1"/>
              </w:rPr>
            </w:pPr>
            <w:r w:rsidRPr="000113B8">
              <w:rPr>
                <w:rFonts w:ascii="Garamond" w:hAnsi="Garamond" w:cs="Arial"/>
                <w:b/>
                <w:bCs/>
                <w:color w:val="000000" w:themeColor="text1"/>
              </w:rPr>
              <w:t>11</w:t>
            </w:r>
          </w:p>
        </w:tc>
        <w:tc>
          <w:tcPr>
            <w:tcW w:w="4498" w:type="pct"/>
            <w:shd w:val="clear" w:color="auto" w:fill="F2F2F2"/>
            <w:vAlign w:val="center"/>
          </w:tcPr>
          <w:p w14:paraId="27780878" w14:textId="77777777" w:rsidR="00D64467" w:rsidRPr="000113B8" w:rsidRDefault="00D64467" w:rsidP="00EC7684">
            <w:pPr>
              <w:rPr>
                <w:rFonts w:ascii="Garamond" w:hAnsi="Garamond" w:cs="Arial"/>
                <w:bCs/>
                <w:color w:val="000000" w:themeColor="text1"/>
              </w:rPr>
            </w:pPr>
            <w:r w:rsidRPr="000113B8">
              <w:rPr>
                <w:rFonts w:ascii="Garamond" w:eastAsia="Batang" w:hAnsi="Garamond" w:cs="Arial"/>
                <w:color w:val="000000" w:themeColor="text1"/>
              </w:rPr>
              <w:t>MAPFRE COLOMBIA VIDA SEGUROS S.A. - MAPFRE SEGUROS GENERALES DE COLOMBIA S.A.</w:t>
            </w:r>
          </w:p>
        </w:tc>
      </w:tr>
      <w:tr w:rsidR="009A7F8F" w:rsidRPr="000113B8" w14:paraId="039AFE38" w14:textId="77777777" w:rsidTr="00EC7684">
        <w:trPr>
          <w:trHeight w:val="330"/>
        </w:trPr>
        <w:tc>
          <w:tcPr>
            <w:tcW w:w="502" w:type="pct"/>
            <w:noWrap/>
            <w:vAlign w:val="center"/>
            <w:hideMark/>
          </w:tcPr>
          <w:p w14:paraId="19D636DD" w14:textId="77777777" w:rsidR="00D64467" w:rsidRPr="000113B8" w:rsidRDefault="00D64467" w:rsidP="00EC7684">
            <w:pPr>
              <w:jc w:val="center"/>
              <w:rPr>
                <w:rFonts w:ascii="Garamond" w:hAnsi="Garamond" w:cs="Arial"/>
                <w:b/>
                <w:bCs/>
                <w:color w:val="000000" w:themeColor="text1"/>
              </w:rPr>
            </w:pPr>
            <w:r w:rsidRPr="000113B8">
              <w:rPr>
                <w:rFonts w:ascii="Garamond" w:hAnsi="Garamond" w:cs="Arial"/>
                <w:b/>
                <w:bCs/>
                <w:color w:val="000000" w:themeColor="text1"/>
              </w:rPr>
              <w:t>12</w:t>
            </w:r>
          </w:p>
        </w:tc>
        <w:tc>
          <w:tcPr>
            <w:tcW w:w="4498" w:type="pct"/>
            <w:vAlign w:val="center"/>
          </w:tcPr>
          <w:p w14:paraId="4A0381E5" w14:textId="77777777" w:rsidR="00D64467" w:rsidRPr="000113B8" w:rsidRDefault="00D64467" w:rsidP="00EC7684">
            <w:pPr>
              <w:rPr>
                <w:rFonts w:ascii="Garamond" w:hAnsi="Garamond" w:cs="Arial"/>
                <w:bCs/>
                <w:color w:val="000000" w:themeColor="text1"/>
              </w:rPr>
            </w:pPr>
            <w:r w:rsidRPr="000113B8">
              <w:rPr>
                <w:rFonts w:ascii="Garamond" w:eastAsia="Batang" w:hAnsi="Garamond" w:cs="Arial"/>
                <w:color w:val="000000" w:themeColor="text1"/>
              </w:rPr>
              <w:t>POSITIVA COMPAÑÍA DE SEGUROS S.A.</w:t>
            </w:r>
          </w:p>
        </w:tc>
      </w:tr>
      <w:tr w:rsidR="009A7F8F" w:rsidRPr="000113B8" w14:paraId="55059958" w14:textId="77777777" w:rsidTr="00EC7684">
        <w:trPr>
          <w:trHeight w:val="330"/>
        </w:trPr>
        <w:tc>
          <w:tcPr>
            <w:tcW w:w="502" w:type="pct"/>
            <w:shd w:val="clear" w:color="auto" w:fill="F2F2F2"/>
            <w:noWrap/>
            <w:vAlign w:val="center"/>
            <w:hideMark/>
          </w:tcPr>
          <w:p w14:paraId="6C175D84" w14:textId="77777777" w:rsidR="00D64467" w:rsidRPr="000113B8" w:rsidRDefault="00D64467" w:rsidP="00EC7684">
            <w:pPr>
              <w:jc w:val="center"/>
              <w:rPr>
                <w:rFonts w:ascii="Garamond" w:hAnsi="Garamond" w:cs="Arial"/>
                <w:b/>
                <w:bCs/>
                <w:color w:val="000000" w:themeColor="text1"/>
              </w:rPr>
            </w:pPr>
            <w:r w:rsidRPr="000113B8">
              <w:rPr>
                <w:rFonts w:ascii="Garamond" w:hAnsi="Garamond" w:cs="Arial"/>
                <w:b/>
                <w:bCs/>
                <w:color w:val="000000" w:themeColor="text1"/>
              </w:rPr>
              <w:t>13</w:t>
            </w:r>
          </w:p>
        </w:tc>
        <w:tc>
          <w:tcPr>
            <w:tcW w:w="4498" w:type="pct"/>
            <w:shd w:val="clear" w:color="auto" w:fill="F2F2F2"/>
            <w:vAlign w:val="center"/>
          </w:tcPr>
          <w:p w14:paraId="576B937A" w14:textId="77777777" w:rsidR="00D64467" w:rsidRPr="000113B8" w:rsidRDefault="00D64467" w:rsidP="00EC7684">
            <w:pPr>
              <w:rPr>
                <w:rFonts w:ascii="Garamond" w:hAnsi="Garamond" w:cs="Arial"/>
                <w:bCs/>
                <w:color w:val="000000" w:themeColor="text1"/>
              </w:rPr>
            </w:pPr>
            <w:r w:rsidRPr="000113B8">
              <w:rPr>
                <w:rFonts w:ascii="Garamond" w:eastAsia="Batang" w:hAnsi="Garamond" w:cs="Arial"/>
                <w:color w:val="000000" w:themeColor="text1"/>
              </w:rPr>
              <w:t>SBS SEGUROS COLOMBIA S.A.</w:t>
            </w:r>
          </w:p>
        </w:tc>
      </w:tr>
      <w:tr w:rsidR="009A7F8F" w:rsidRPr="000113B8" w14:paraId="139F9D34" w14:textId="77777777" w:rsidTr="00EC7684">
        <w:trPr>
          <w:trHeight w:val="330"/>
        </w:trPr>
        <w:tc>
          <w:tcPr>
            <w:tcW w:w="502" w:type="pct"/>
            <w:noWrap/>
            <w:vAlign w:val="center"/>
            <w:hideMark/>
          </w:tcPr>
          <w:p w14:paraId="52D89FA2" w14:textId="77777777" w:rsidR="00D64467" w:rsidRPr="000113B8" w:rsidRDefault="00D64467" w:rsidP="00EC7684">
            <w:pPr>
              <w:jc w:val="center"/>
              <w:rPr>
                <w:rFonts w:ascii="Garamond" w:hAnsi="Garamond" w:cs="Arial"/>
                <w:b/>
                <w:bCs/>
                <w:color w:val="000000" w:themeColor="text1"/>
              </w:rPr>
            </w:pPr>
            <w:r w:rsidRPr="000113B8">
              <w:rPr>
                <w:rFonts w:ascii="Garamond" w:hAnsi="Garamond" w:cs="Arial"/>
                <w:b/>
                <w:bCs/>
                <w:color w:val="000000" w:themeColor="text1"/>
              </w:rPr>
              <w:t>14</w:t>
            </w:r>
          </w:p>
        </w:tc>
        <w:tc>
          <w:tcPr>
            <w:tcW w:w="4498" w:type="pct"/>
            <w:vAlign w:val="center"/>
          </w:tcPr>
          <w:p w14:paraId="5B70DB72" w14:textId="77777777" w:rsidR="00D64467" w:rsidRPr="000113B8" w:rsidRDefault="00D64467" w:rsidP="00EC7684">
            <w:pPr>
              <w:rPr>
                <w:rFonts w:ascii="Garamond" w:hAnsi="Garamond" w:cs="Arial"/>
                <w:bCs/>
                <w:color w:val="000000" w:themeColor="text1"/>
              </w:rPr>
            </w:pPr>
            <w:r w:rsidRPr="000113B8">
              <w:rPr>
                <w:rFonts w:ascii="Garamond" w:eastAsia="Batang" w:hAnsi="Garamond" w:cs="Arial"/>
                <w:color w:val="000000" w:themeColor="text1"/>
              </w:rPr>
              <w:t>SEGUROS DE VIDA DEL ESTADO S.A. - SEGUROS DEL ESTADO S.A.</w:t>
            </w:r>
          </w:p>
        </w:tc>
      </w:tr>
      <w:tr w:rsidR="009A7F8F" w:rsidRPr="000113B8" w14:paraId="409DDEC3" w14:textId="77777777" w:rsidTr="00EC7684">
        <w:trPr>
          <w:trHeight w:val="330"/>
        </w:trPr>
        <w:tc>
          <w:tcPr>
            <w:tcW w:w="502" w:type="pct"/>
            <w:shd w:val="clear" w:color="auto" w:fill="F2F2F2"/>
            <w:noWrap/>
            <w:vAlign w:val="center"/>
            <w:hideMark/>
          </w:tcPr>
          <w:p w14:paraId="6D5E7FDF" w14:textId="77777777" w:rsidR="00D64467" w:rsidRPr="000113B8" w:rsidRDefault="00D64467" w:rsidP="00EC7684">
            <w:pPr>
              <w:jc w:val="center"/>
              <w:rPr>
                <w:rFonts w:ascii="Garamond" w:hAnsi="Garamond" w:cs="Arial"/>
                <w:b/>
                <w:bCs/>
                <w:color w:val="000000" w:themeColor="text1"/>
              </w:rPr>
            </w:pPr>
            <w:r w:rsidRPr="000113B8">
              <w:rPr>
                <w:rFonts w:ascii="Garamond" w:hAnsi="Garamond" w:cs="Arial"/>
                <w:b/>
                <w:bCs/>
                <w:color w:val="000000" w:themeColor="text1"/>
              </w:rPr>
              <w:t>15</w:t>
            </w:r>
          </w:p>
        </w:tc>
        <w:tc>
          <w:tcPr>
            <w:tcW w:w="4498" w:type="pct"/>
            <w:shd w:val="clear" w:color="auto" w:fill="F2F2F2"/>
            <w:vAlign w:val="center"/>
          </w:tcPr>
          <w:p w14:paraId="5D5C7FC0" w14:textId="77777777" w:rsidR="00D64467" w:rsidRPr="000113B8" w:rsidRDefault="00D64467" w:rsidP="00EC7684">
            <w:pPr>
              <w:rPr>
                <w:rFonts w:ascii="Garamond" w:hAnsi="Garamond" w:cs="Arial"/>
                <w:bCs/>
                <w:color w:val="000000" w:themeColor="text1"/>
              </w:rPr>
            </w:pPr>
            <w:r w:rsidRPr="000113B8">
              <w:rPr>
                <w:rFonts w:ascii="Garamond" w:eastAsia="Batang" w:hAnsi="Garamond" w:cs="Arial"/>
                <w:color w:val="000000" w:themeColor="text1"/>
              </w:rPr>
              <w:t>SEGUROS DE VIDA SURAMERICANA S.A. - SEGUROS GENERALES SURAMERICANA S.A.</w:t>
            </w:r>
          </w:p>
        </w:tc>
      </w:tr>
      <w:tr w:rsidR="009A7F8F" w:rsidRPr="000113B8" w14:paraId="27D2CCCB" w14:textId="77777777" w:rsidTr="00EC7684">
        <w:trPr>
          <w:trHeight w:val="330"/>
        </w:trPr>
        <w:tc>
          <w:tcPr>
            <w:tcW w:w="502" w:type="pct"/>
            <w:noWrap/>
            <w:vAlign w:val="center"/>
          </w:tcPr>
          <w:p w14:paraId="0377BBE8" w14:textId="77777777" w:rsidR="00D64467" w:rsidRPr="000113B8" w:rsidRDefault="00D64467" w:rsidP="00EC7684">
            <w:pPr>
              <w:jc w:val="center"/>
              <w:rPr>
                <w:rFonts w:ascii="Garamond" w:hAnsi="Garamond" w:cs="Arial"/>
                <w:b/>
                <w:bCs/>
                <w:color w:val="000000" w:themeColor="text1"/>
              </w:rPr>
            </w:pPr>
            <w:r w:rsidRPr="000113B8">
              <w:rPr>
                <w:rFonts w:ascii="Garamond" w:hAnsi="Garamond" w:cs="Arial"/>
                <w:b/>
                <w:bCs/>
                <w:color w:val="000000" w:themeColor="text1"/>
              </w:rPr>
              <w:t>16</w:t>
            </w:r>
          </w:p>
        </w:tc>
        <w:tc>
          <w:tcPr>
            <w:tcW w:w="4498" w:type="pct"/>
            <w:vAlign w:val="center"/>
          </w:tcPr>
          <w:p w14:paraId="23705753" w14:textId="77777777" w:rsidR="00D64467" w:rsidRPr="000113B8" w:rsidRDefault="00D64467" w:rsidP="00EC7684">
            <w:pPr>
              <w:rPr>
                <w:rFonts w:ascii="Garamond" w:eastAsia="Batang" w:hAnsi="Garamond" w:cs="Arial"/>
                <w:color w:val="000000" w:themeColor="text1"/>
              </w:rPr>
            </w:pPr>
            <w:r w:rsidRPr="000113B8">
              <w:rPr>
                <w:rFonts w:ascii="Garamond" w:eastAsia="Batang" w:hAnsi="Garamond" w:cs="Arial"/>
                <w:color w:val="000000" w:themeColor="text1"/>
              </w:rPr>
              <w:t>ZURICH COLOMBIA SEGUROS S.A.</w:t>
            </w:r>
          </w:p>
        </w:tc>
      </w:tr>
    </w:tbl>
    <w:p w14:paraId="5D073FB7" w14:textId="77777777" w:rsidR="00D64467" w:rsidRPr="000113B8" w:rsidRDefault="00D64467" w:rsidP="00D64467">
      <w:pPr>
        <w:jc w:val="center"/>
        <w:rPr>
          <w:rFonts w:ascii="Garamond" w:eastAsia="Batang" w:hAnsi="Garamond" w:cs="Arial"/>
          <w:bCs/>
          <w:color w:val="000000" w:themeColor="text1"/>
        </w:rPr>
      </w:pPr>
      <w:r w:rsidRPr="000113B8">
        <w:rPr>
          <w:rFonts w:ascii="Garamond" w:eastAsia="Batang" w:hAnsi="Garamond" w:cs="Arial"/>
          <w:bCs/>
          <w:color w:val="000000" w:themeColor="text1"/>
        </w:rPr>
        <w:t>Fuente: Elaboración intermediario de seguros de la entidad JARGU S.A. CORREDORES DE SEGUROS</w:t>
      </w:r>
    </w:p>
    <w:p w14:paraId="7A24439E" w14:textId="77777777" w:rsidR="00D64467" w:rsidRPr="000113B8" w:rsidRDefault="00D64467" w:rsidP="00D64467">
      <w:pPr>
        <w:jc w:val="center"/>
        <w:rPr>
          <w:rFonts w:ascii="Garamond" w:eastAsia="Batang" w:hAnsi="Garamond" w:cs="Arial"/>
          <w:bCs/>
          <w:color w:val="000000" w:themeColor="text1"/>
        </w:rPr>
      </w:pPr>
    </w:p>
    <w:bookmarkEnd w:id="21"/>
    <w:p w14:paraId="5C42F311" w14:textId="77777777" w:rsidR="00D64467" w:rsidRPr="000113B8" w:rsidRDefault="00D64467" w:rsidP="00D64467">
      <w:pPr>
        <w:pStyle w:val="Default"/>
        <w:jc w:val="both"/>
        <w:rPr>
          <w:rFonts w:ascii="Garamond" w:hAnsi="Garamond"/>
          <w:b/>
          <w:bCs/>
          <w:color w:val="000000" w:themeColor="text1"/>
          <w:sz w:val="22"/>
          <w:szCs w:val="22"/>
        </w:rPr>
      </w:pPr>
      <w:r w:rsidRPr="000113B8">
        <w:rPr>
          <w:rFonts w:ascii="Garamond" w:hAnsi="Garamond"/>
          <w:b/>
          <w:bCs/>
          <w:color w:val="000000" w:themeColor="text1"/>
          <w:sz w:val="22"/>
          <w:szCs w:val="22"/>
        </w:rPr>
        <w:t>¿CUÁL ES LA DINÁMICA DE PRODUCCIÓN, DISTRIBUCIÓN Y ENTREGA DE BIENES, OBRAS O SERVICIOS?</w:t>
      </w:r>
    </w:p>
    <w:p w14:paraId="0F73B7F5" w14:textId="77777777" w:rsidR="00D64467" w:rsidRPr="000113B8" w:rsidRDefault="00D64467" w:rsidP="00D64467">
      <w:pPr>
        <w:pStyle w:val="Default"/>
        <w:rPr>
          <w:rFonts w:ascii="Garamond" w:hAnsi="Garamond"/>
          <w:color w:val="000000" w:themeColor="text1"/>
          <w:sz w:val="22"/>
          <w:szCs w:val="22"/>
        </w:rPr>
      </w:pPr>
    </w:p>
    <w:p w14:paraId="6564F13E" w14:textId="77777777" w:rsidR="00D64467" w:rsidRPr="000113B8" w:rsidRDefault="00D64467" w:rsidP="00D64467">
      <w:pPr>
        <w:pStyle w:val="Default"/>
        <w:jc w:val="both"/>
        <w:rPr>
          <w:rFonts w:ascii="Garamond" w:hAnsi="Garamond"/>
          <w:color w:val="000000" w:themeColor="text1"/>
          <w:sz w:val="22"/>
          <w:szCs w:val="22"/>
        </w:rPr>
      </w:pPr>
      <w:r w:rsidRPr="000113B8">
        <w:rPr>
          <w:rFonts w:ascii="Garamond" w:hAnsi="Garamond"/>
          <w:color w:val="000000" w:themeColor="text1"/>
          <w:sz w:val="22"/>
          <w:szCs w:val="22"/>
        </w:rPr>
        <w:t xml:space="preserve">Las compañías de seguros basan su negocio en el cobro de unas primas para garantizar unas coberturas a sus asegurados en caso de que se dé la ocurrencia del siniestro. Estas primas son invertidas en diversos activos </w:t>
      </w:r>
      <w:r w:rsidRPr="000113B8">
        <w:rPr>
          <w:rFonts w:ascii="Garamond" w:hAnsi="Garamond"/>
          <w:color w:val="000000" w:themeColor="text1"/>
          <w:sz w:val="22"/>
          <w:szCs w:val="22"/>
        </w:rPr>
        <w:lastRenderedPageBreak/>
        <w:t>(financieros y materiales) que ofrecen un rendimiento. La disponibilidad de una amplia cartera de pólizas hace que las compañías puedan hacer frente a los siniestros que acontecen gracias a que la prima ha sido obtenida mediante cálculos actuariales. El ciclo económico de las compañías aseguradoras se caracteriza por el cobro de las primas al inicio de cobertura de los contratos, realizándose los pagos en un momento posterior y disponiendo, por lo tanto, de unos recursos que se invertirán en distintos activos financieros y materiales. Así el ciclo del negocio de la actividad aseguradora es el siguiente:</w:t>
      </w:r>
    </w:p>
    <w:p w14:paraId="6C87BD0D" w14:textId="77777777" w:rsidR="00D64467" w:rsidRPr="000113B8" w:rsidRDefault="00D64467" w:rsidP="00D64467">
      <w:pPr>
        <w:pStyle w:val="Default"/>
        <w:jc w:val="center"/>
        <w:rPr>
          <w:rFonts w:ascii="Garamond" w:hAnsi="Garamond"/>
          <w:color w:val="000000" w:themeColor="text1"/>
          <w:sz w:val="22"/>
          <w:szCs w:val="22"/>
        </w:rPr>
      </w:pPr>
      <w:r w:rsidRPr="000113B8">
        <w:rPr>
          <w:rFonts w:ascii="Garamond" w:hAnsi="Garamond"/>
          <w:b/>
          <w:noProof/>
          <w:color w:val="000000" w:themeColor="text1"/>
          <w:sz w:val="22"/>
          <w:szCs w:val="22"/>
        </w:rPr>
        <w:drawing>
          <wp:inline distT="0" distB="0" distL="0" distR="0" wp14:anchorId="497FE8A2" wp14:editId="4B0C7102">
            <wp:extent cx="3524250" cy="942975"/>
            <wp:effectExtent l="0" t="0" r="0" b="9525"/>
            <wp:docPr id="920991578" name="Imagen 25"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Diagrama&#10;&#10;El contenido generado por IA puede ser incorrecto."/>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524250" cy="942975"/>
                    </a:xfrm>
                    <a:prstGeom prst="rect">
                      <a:avLst/>
                    </a:prstGeom>
                    <a:noFill/>
                    <a:ln>
                      <a:noFill/>
                    </a:ln>
                  </pic:spPr>
                </pic:pic>
              </a:graphicData>
            </a:graphic>
          </wp:inline>
        </w:drawing>
      </w:r>
    </w:p>
    <w:p w14:paraId="2E6C7A49" w14:textId="77777777" w:rsidR="00D64467" w:rsidRPr="000113B8" w:rsidRDefault="00D64467" w:rsidP="00D64467">
      <w:pPr>
        <w:ind w:right="57"/>
        <w:jc w:val="center"/>
        <w:rPr>
          <w:rFonts w:ascii="Garamond" w:eastAsia="Batang" w:hAnsi="Garamond" w:cs="Arial"/>
          <w:bCs/>
          <w:color w:val="000000" w:themeColor="text1"/>
        </w:rPr>
      </w:pPr>
      <w:r w:rsidRPr="000113B8">
        <w:rPr>
          <w:rFonts w:ascii="Garamond" w:eastAsia="Batang" w:hAnsi="Garamond" w:cs="Arial"/>
          <w:bCs/>
          <w:color w:val="000000" w:themeColor="text1"/>
        </w:rPr>
        <w:t>Fuente: Elaboración intermediario de seguros de la entidad JARGU S.A. CORREDORES DE SEGUROS</w:t>
      </w:r>
    </w:p>
    <w:p w14:paraId="129BFEFD" w14:textId="77777777" w:rsidR="00D64467" w:rsidRPr="000113B8" w:rsidRDefault="00D64467" w:rsidP="00D64467">
      <w:pPr>
        <w:ind w:right="57"/>
        <w:jc w:val="center"/>
        <w:rPr>
          <w:rFonts w:ascii="Garamond" w:eastAsia="Batang" w:hAnsi="Garamond" w:cs="Arial"/>
          <w:bCs/>
          <w:color w:val="000000" w:themeColor="text1"/>
        </w:rPr>
      </w:pPr>
    </w:p>
    <w:p w14:paraId="0591F9CB" w14:textId="77777777" w:rsidR="00D64467" w:rsidRPr="000113B8" w:rsidRDefault="00D64467" w:rsidP="00D64467">
      <w:pPr>
        <w:pStyle w:val="Default"/>
        <w:jc w:val="both"/>
        <w:rPr>
          <w:rFonts w:ascii="Garamond" w:hAnsi="Garamond"/>
          <w:color w:val="000000" w:themeColor="text1"/>
          <w:sz w:val="22"/>
          <w:szCs w:val="22"/>
        </w:rPr>
      </w:pPr>
      <w:r w:rsidRPr="000113B8">
        <w:rPr>
          <w:rFonts w:ascii="Garamond" w:hAnsi="Garamond"/>
          <w:color w:val="000000" w:themeColor="text1"/>
          <w:sz w:val="22"/>
          <w:szCs w:val="22"/>
        </w:rPr>
        <w:t>Una vez se encuentran expedidas las pólizas se inicia el cubrimiento de los diferentes riesgos, que serán materializados con la atención de los siniestros en caso de presentarse:</w:t>
      </w:r>
    </w:p>
    <w:p w14:paraId="4C2897F8" w14:textId="77777777" w:rsidR="00D64467" w:rsidRPr="000113B8" w:rsidRDefault="00D64467" w:rsidP="00D64467">
      <w:pPr>
        <w:pStyle w:val="Default"/>
        <w:jc w:val="both"/>
        <w:rPr>
          <w:rFonts w:ascii="Garamond" w:hAnsi="Garamond"/>
          <w:color w:val="000000" w:themeColor="text1"/>
          <w:sz w:val="22"/>
          <w:szCs w:val="22"/>
        </w:rPr>
      </w:pPr>
    </w:p>
    <w:p w14:paraId="4C5AD9EA" w14:textId="77777777" w:rsidR="00D64467" w:rsidRPr="000113B8" w:rsidRDefault="00D64467" w:rsidP="00D64467">
      <w:pPr>
        <w:pStyle w:val="Default"/>
        <w:jc w:val="center"/>
        <w:rPr>
          <w:rFonts w:ascii="Garamond" w:hAnsi="Garamond"/>
          <w:b/>
          <w:bCs/>
          <w:color w:val="000000" w:themeColor="text1"/>
          <w:sz w:val="22"/>
          <w:szCs w:val="22"/>
        </w:rPr>
      </w:pPr>
      <w:r w:rsidRPr="000113B8">
        <w:rPr>
          <w:rFonts w:ascii="Garamond" w:hAnsi="Garamond"/>
          <w:b/>
          <w:noProof/>
          <w:color w:val="000000" w:themeColor="text1"/>
          <w:sz w:val="22"/>
          <w:szCs w:val="22"/>
        </w:rPr>
        <w:drawing>
          <wp:inline distT="0" distB="0" distL="0" distR="0" wp14:anchorId="3758319E" wp14:editId="4D7456B6">
            <wp:extent cx="5353050" cy="904875"/>
            <wp:effectExtent l="0" t="0" r="0" b="9525"/>
            <wp:docPr id="26454487" name="Imagen 24"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Diagrama&#10;&#10;El contenido generado por IA puede ser incorrecto."/>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353050" cy="904875"/>
                    </a:xfrm>
                    <a:prstGeom prst="rect">
                      <a:avLst/>
                    </a:prstGeom>
                    <a:noFill/>
                    <a:ln>
                      <a:noFill/>
                    </a:ln>
                  </pic:spPr>
                </pic:pic>
              </a:graphicData>
            </a:graphic>
          </wp:inline>
        </w:drawing>
      </w:r>
    </w:p>
    <w:p w14:paraId="5466B129" w14:textId="77777777" w:rsidR="00D64467" w:rsidRPr="000113B8" w:rsidRDefault="00D64467" w:rsidP="00D64467">
      <w:pPr>
        <w:ind w:right="57"/>
        <w:jc w:val="center"/>
        <w:rPr>
          <w:rFonts w:ascii="Garamond" w:eastAsia="Batang" w:hAnsi="Garamond" w:cs="Arial"/>
          <w:bCs/>
          <w:color w:val="000000" w:themeColor="text1"/>
        </w:rPr>
      </w:pPr>
      <w:r w:rsidRPr="000113B8">
        <w:rPr>
          <w:rFonts w:ascii="Garamond" w:eastAsia="Batang" w:hAnsi="Garamond" w:cs="Arial"/>
          <w:bCs/>
          <w:color w:val="000000" w:themeColor="text1"/>
        </w:rPr>
        <w:t>Fuente: Elaboración intermediario de seguros de la entidad JARGU S.A. CORREDORES DE SEGUROS</w:t>
      </w:r>
    </w:p>
    <w:p w14:paraId="02A752DB" w14:textId="77777777" w:rsidR="00D64467" w:rsidRPr="000113B8" w:rsidRDefault="00D64467" w:rsidP="00D64467">
      <w:pPr>
        <w:ind w:right="57"/>
        <w:jc w:val="center"/>
        <w:rPr>
          <w:rFonts w:ascii="Garamond" w:eastAsia="Batang" w:hAnsi="Garamond" w:cs="Arial"/>
          <w:bCs/>
          <w:color w:val="000000" w:themeColor="text1"/>
        </w:rPr>
      </w:pPr>
    </w:p>
    <w:p w14:paraId="682250AE" w14:textId="77777777" w:rsidR="00D64467" w:rsidRPr="000113B8" w:rsidRDefault="00D64467" w:rsidP="00D64467">
      <w:pPr>
        <w:pStyle w:val="Default"/>
        <w:rPr>
          <w:rFonts w:ascii="Garamond" w:hAnsi="Garamond"/>
          <w:b/>
          <w:bCs/>
          <w:color w:val="000000" w:themeColor="text1"/>
          <w:sz w:val="22"/>
          <w:szCs w:val="22"/>
        </w:rPr>
      </w:pPr>
      <w:r w:rsidRPr="000113B8">
        <w:rPr>
          <w:rFonts w:ascii="Garamond" w:hAnsi="Garamond"/>
          <w:b/>
          <w:bCs/>
          <w:color w:val="000000" w:themeColor="text1"/>
          <w:sz w:val="22"/>
          <w:szCs w:val="22"/>
        </w:rPr>
        <w:t>CADENA DE SUMINISTRO</w:t>
      </w:r>
    </w:p>
    <w:p w14:paraId="077E1B1A" w14:textId="77777777" w:rsidR="00D64467" w:rsidRPr="000113B8" w:rsidRDefault="00D64467" w:rsidP="00D64467">
      <w:pPr>
        <w:pStyle w:val="Default"/>
        <w:rPr>
          <w:rFonts w:ascii="Garamond" w:hAnsi="Garamond"/>
          <w:b/>
          <w:bCs/>
          <w:color w:val="000000" w:themeColor="text1"/>
          <w:sz w:val="22"/>
          <w:szCs w:val="22"/>
        </w:rPr>
      </w:pPr>
    </w:p>
    <w:p w14:paraId="0BE2708B" w14:textId="77777777" w:rsidR="00D64467" w:rsidRPr="000113B8" w:rsidRDefault="00D64467" w:rsidP="00D64467">
      <w:pPr>
        <w:pStyle w:val="Default"/>
        <w:jc w:val="both"/>
        <w:rPr>
          <w:rFonts w:ascii="Garamond" w:hAnsi="Garamond"/>
          <w:color w:val="000000" w:themeColor="text1"/>
          <w:sz w:val="22"/>
          <w:szCs w:val="22"/>
        </w:rPr>
      </w:pPr>
      <w:r w:rsidRPr="000113B8">
        <w:rPr>
          <w:rFonts w:ascii="Garamond" w:hAnsi="Garamond"/>
          <w:color w:val="000000" w:themeColor="text1"/>
          <w:sz w:val="22"/>
          <w:szCs w:val="22"/>
        </w:rPr>
        <w:t>En el sector de seguros podemos presenciar la intervención de 2 agentes, los cuales son: los intermediarios y las compañías de seguros, el papel de los intermediarios es el de ser el canal de distribución de las compañías de seguros, pero en ocasiones sus costos son más altos relacionados con los que ofrecen las compañías de seguros. Por eso en la cadena que a continuación se relaciona podemos visualizar las dos opciones que tiene la entidad estatal y es su</w:t>
      </w:r>
      <w:r w:rsidRPr="000113B8">
        <w:rPr>
          <w:rFonts w:ascii="Garamond" w:hAnsi="Garamond"/>
          <w:b/>
          <w:bCs/>
          <w:color w:val="000000" w:themeColor="text1"/>
          <w:sz w:val="22"/>
          <w:szCs w:val="22"/>
        </w:rPr>
        <w:t xml:space="preserve"> </w:t>
      </w:r>
      <w:r w:rsidRPr="000113B8">
        <w:rPr>
          <w:rFonts w:ascii="Garamond" w:hAnsi="Garamond"/>
          <w:color w:val="000000" w:themeColor="text1"/>
          <w:sz w:val="22"/>
          <w:szCs w:val="22"/>
        </w:rPr>
        <w:t>decisión que camino optar dependiendo su necesidad y su ganancia.</w:t>
      </w:r>
    </w:p>
    <w:p w14:paraId="09042B8A" w14:textId="77777777" w:rsidR="00D64467" w:rsidRPr="000113B8" w:rsidRDefault="00D64467" w:rsidP="00D64467">
      <w:pPr>
        <w:pStyle w:val="Default"/>
        <w:jc w:val="both"/>
        <w:rPr>
          <w:rFonts w:ascii="Garamond" w:hAnsi="Garamond"/>
          <w:color w:val="000000" w:themeColor="text1"/>
          <w:sz w:val="22"/>
          <w:szCs w:val="22"/>
        </w:rPr>
      </w:pPr>
    </w:p>
    <w:p w14:paraId="0006F29A" w14:textId="77777777" w:rsidR="00D64467" w:rsidRPr="000113B8" w:rsidRDefault="00D64467" w:rsidP="00D64467">
      <w:pPr>
        <w:jc w:val="center"/>
        <w:rPr>
          <w:rFonts w:ascii="Garamond" w:hAnsi="Garamond" w:cs="Arial"/>
          <w:bCs/>
          <w:color w:val="000000" w:themeColor="text1"/>
        </w:rPr>
      </w:pPr>
      <w:r w:rsidRPr="000113B8">
        <w:rPr>
          <w:rFonts w:ascii="Garamond" w:hAnsi="Garamond" w:cs="Arial"/>
          <w:noProof/>
          <w:color w:val="000000" w:themeColor="text1"/>
        </w:rPr>
        <w:drawing>
          <wp:inline distT="0" distB="0" distL="0" distR="0" wp14:anchorId="032F5591" wp14:editId="49F26029">
            <wp:extent cx="2362200" cy="1039674"/>
            <wp:effectExtent l="38100" t="38100" r="38100" b="46355"/>
            <wp:docPr id="1776354837" name="Imagen 23" descr="Interfaz de usuario gráfica, Aplicación, Word&#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Interfaz de usuario gráfica, Aplicación, Word&#10;&#10;Descripción generada automáticamente"/>
                    <pic:cNvPicPr>
                      <a:picLocks noChangeAspect="1" noChangeArrowheads="1"/>
                    </pic:cNvPicPr>
                  </pic:nvPicPr>
                  <pic:blipFill>
                    <a:blip r:embed="rId48">
                      <a:extLst>
                        <a:ext uri="{28A0092B-C50C-407E-A947-70E740481C1C}">
                          <a14:useLocalDpi xmlns:a14="http://schemas.microsoft.com/office/drawing/2010/main" val="0"/>
                        </a:ext>
                      </a:extLst>
                    </a:blip>
                    <a:srcRect l="7095" t="49532" r="51253" b="27719"/>
                    <a:stretch>
                      <a:fillRect/>
                    </a:stretch>
                  </pic:blipFill>
                  <pic:spPr bwMode="auto">
                    <a:xfrm>
                      <a:off x="0" y="0"/>
                      <a:ext cx="2377750" cy="1046518"/>
                    </a:xfrm>
                    <a:prstGeom prst="rect">
                      <a:avLst/>
                    </a:prstGeom>
                    <a:noFill/>
                    <a:ln w="38100" cmpd="sng">
                      <a:solidFill>
                        <a:srgbClr val="000000"/>
                      </a:solidFill>
                      <a:miter lim="800000"/>
                      <a:headEnd/>
                      <a:tailEnd/>
                    </a:ln>
                    <a:effectLst/>
                  </pic:spPr>
                </pic:pic>
              </a:graphicData>
            </a:graphic>
          </wp:inline>
        </w:drawing>
      </w:r>
    </w:p>
    <w:p w14:paraId="2595AA88" w14:textId="77777777" w:rsidR="00D64467" w:rsidRPr="000113B8" w:rsidRDefault="00D64467" w:rsidP="00D64467">
      <w:pPr>
        <w:ind w:right="57"/>
        <w:jc w:val="center"/>
        <w:rPr>
          <w:rFonts w:ascii="Garamond" w:eastAsia="Batang" w:hAnsi="Garamond" w:cs="Arial"/>
          <w:bCs/>
          <w:color w:val="000000" w:themeColor="text1"/>
        </w:rPr>
      </w:pPr>
      <w:r w:rsidRPr="000113B8">
        <w:rPr>
          <w:rFonts w:ascii="Garamond" w:eastAsia="Batang" w:hAnsi="Garamond" w:cs="Arial"/>
          <w:bCs/>
          <w:color w:val="000000" w:themeColor="text1"/>
        </w:rPr>
        <w:t>Fuente: Elaboración intermediario de seguros de la entidad JARGU S.A. CORREDORES DE SEGUROS</w:t>
      </w:r>
    </w:p>
    <w:p w14:paraId="79BBD9CD" w14:textId="77777777" w:rsidR="00D64467" w:rsidRPr="000113B8" w:rsidRDefault="00D64467" w:rsidP="00D64467">
      <w:pPr>
        <w:ind w:right="57"/>
        <w:jc w:val="center"/>
        <w:rPr>
          <w:rFonts w:ascii="Garamond" w:eastAsia="Batang" w:hAnsi="Garamond" w:cs="Arial"/>
          <w:bCs/>
          <w:color w:val="000000" w:themeColor="text1"/>
        </w:rPr>
      </w:pPr>
    </w:p>
    <w:p w14:paraId="369F965E" w14:textId="77777777" w:rsidR="00D64467" w:rsidRPr="000113B8" w:rsidRDefault="00D64467" w:rsidP="00D64467">
      <w:pPr>
        <w:shd w:val="clear" w:color="auto" w:fill="FFFFFF"/>
        <w:jc w:val="both"/>
        <w:rPr>
          <w:rFonts w:ascii="Garamond" w:hAnsi="Garamond" w:cs="Arial"/>
          <w:color w:val="000000" w:themeColor="text1"/>
        </w:rPr>
      </w:pPr>
      <w:r w:rsidRPr="000113B8">
        <w:rPr>
          <w:rFonts w:ascii="Garamond" w:hAnsi="Garamond" w:cs="Arial"/>
          <w:color w:val="000000" w:themeColor="text1"/>
        </w:rPr>
        <w:t>Ahora bien, al consultar</w:t>
      </w:r>
      <w:r w:rsidRPr="000113B8">
        <w:rPr>
          <w:rFonts w:ascii="Garamond" w:hAnsi="Garamond" w:cs="Arial"/>
          <w:color w:val="000000" w:themeColor="text1"/>
          <w:lang w:val="es-ES_tradnl"/>
        </w:rPr>
        <w:t xml:space="preserve"> la base de datos abiertos del Modelo de Abastecimiento Estratégico, (herramienta de visualización para el análisis de la oferta) desarrollado </w:t>
      </w:r>
      <w:r w:rsidRPr="000113B8">
        <w:rPr>
          <w:rFonts w:ascii="Garamond" w:hAnsi="Garamond" w:cs="Arial"/>
          <w:color w:val="000000" w:themeColor="text1"/>
        </w:rPr>
        <w:t>por la Agencia Nacional de Contratación Pública -</w:t>
      </w:r>
      <w:r w:rsidRPr="000113B8">
        <w:rPr>
          <w:rFonts w:ascii="Garamond" w:hAnsi="Garamond" w:cs="Arial"/>
          <w:color w:val="000000" w:themeColor="text1"/>
          <w:lang w:val="es-ES_tradnl"/>
        </w:rPr>
        <w:t xml:space="preserve"> Colombia Compra Eficiente, para el periodo comprendido entre el 01 de enero de 2025 al 31 de diciembre de 2025, para el código de clasificación UNSPSC 841316, se evidencia que </w:t>
      </w:r>
      <w:r w:rsidRPr="000113B8">
        <w:rPr>
          <w:rFonts w:ascii="Garamond" w:hAnsi="Garamond" w:cs="Arial"/>
          <w:color w:val="000000" w:themeColor="text1"/>
        </w:rPr>
        <w:t>el valor del gasto fue de $ 636.320.515.619.</w:t>
      </w:r>
    </w:p>
    <w:p w14:paraId="23586898" w14:textId="77777777" w:rsidR="00D64467" w:rsidRPr="000113B8" w:rsidRDefault="00D64467" w:rsidP="00D64467">
      <w:pPr>
        <w:shd w:val="clear" w:color="auto" w:fill="FFFFFF"/>
        <w:jc w:val="both"/>
        <w:rPr>
          <w:rFonts w:ascii="Garamond" w:hAnsi="Garamond" w:cs="Arial"/>
          <w:color w:val="000000" w:themeColor="text1"/>
        </w:rPr>
      </w:pPr>
    </w:p>
    <w:p w14:paraId="11B15DE6" w14:textId="77777777" w:rsidR="00D64467" w:rsidRPr="000113B8" w:rsidRDefault="00D64467" w:rsidP="00D64467">
      <w:pPr>
        <w:shd w:val="clear" w:color="auto" w:fill="FFFFFF"/>
        <w:jc w:val="both"/>
        <w:rPr>
          <w:rFonts w:ascii="Garamond" w:hAnsi="Garamond" w:cs="Arial"/>
          <w:color w:val="000000" w:themeColor="text1"/>
        </w:rPr>
      </w:pPr>
      <w:r w:rsidRPr="000113B8">
        <w:rPr>
          <w:rFonts w:ascii="Garamond" w:hAnsi="Garamond" w:cs="Arial"/>
          <w:noProof/>
          <w:color w:val="000000" w:themeColor="text1"/>
        </w:rPr>
        <w:lastRenderedPageBreak/>
        <w:drawing>
          <wp:inline distT="0" distB="0" distL="0" distR="0" wp14:anchorId="725FDF7C" wp14:editId="630D79AD">
            <wp:extent cx="5971540" cy="1771650"/>
            <wp:effectExtent l="38100" t="38100" r="29210" b="38100"/>
            <wp:docPr id="89313671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136713" name=""/>
                    <pic:cNvPicPr/>
                  </pic:nvPicPr>
                  <pic:blipFill>
                    <a:blip r:embed="rId49"/>
                    <a:stretch>
                      <a:fillRect/>
                    </a:stretch>
                  </pic:blipFill>
                  <pic:spPr>
                    <a:xfrm>
                      <a:off x="0" y="0"/>
                      <a:ext cx="5971540" cy="1771650"/>
                    </a:xfrm>
                    <a:prstGeom prst="rect">
                      <a:avLst/>
                    </a:prstGeom>
                    <a:ln w="38100">
                      <a:solidFill>
                        <a:schemeClr val="tx1"/>
                      </a:solidFill>
                    </a:ln>
                  </pic:spPr>
                </pic:pic>
              </a:graphicData>
            </a:graphic>
          </wp:inline>
        </w:drawing>
      </w:r>
    </w:p>
    <w:p w14:paraId="5C6BE964" w14:textId="77777777" w:rsidR="00D64467" w:rsidRPr="000113B8" w:rsidRDefault="00D64467" w:rsidP="00D64467">
      <w:pPr>
        <w:ind w:right="51"/>
        <w:contextualSpacing/>
        <w:jc w:val="center"/>
        <w:rPr>
          <w:rFonts w:ascii="Garamond" w:hAnsi="Garamond" w:cs="Arial"/>
          <w:color w:val="000000" w:themeColor="text1"/>
        </w:rPr>
      </w:pPr>
      <w:r w:rsidRPr="000113B8">
        <w:rPr>
          <w:rFonts w:ascii="Garamond" w:hAnsi="Garamond" w:cs="Arial"/>
          <w:color w:val="000000" w:themeColor="text1"/>
        </w:rPr>
        <w:t>Fuente: Agencia Nacional de Contratación Pública – Colombia Compra Eficiente – Análisis de la Oferta</w:t>
      </w:r>
    </w:p>
    <w:p w14:paraId="32E57AF2" w14:textId="77777777" w:rsidR="00D64467" w:rsidRPr="000113B8" w:rsidRDefault="00D64467" w:rsidP="00D64467">
      <w:pPr>
        <w:shd w:val="clear" w:color="auto" w:fill="FFFFFF"/>
        <w:jc w:val="center"/>
        <w:rPr>
          <w:rFonts w:ascii="Garamond" w:hAnsi="Garamond" w:cs="Arial"/>
          <w:noProof/>
          <w:color w:val="000000" w:themeColor="text1"/>
        </w:rPr>
      </w:pPr>
    </w:p>
    <w:p w14:paraId="28AA52AF" w14:textId="77777777" w:rsidR="00D64467" w:rsidRPr="000113B8" w:rsidRDefault="00D64467" w:rsidP="00D64467">
      <w:pPr>
        <w:shd w:val="clear" w:color="auto" w:fill="FFFFFF"/>
        <w:jc w:val="center"/>
        <w:rPr>
          <w:rFonts w:ascii="Garamond" w:hAnsi="Garamond" w:cs="Arial"/>
          <w:color w:val="000000" w:themeColor="text1"/>
        </w:rPr>
      </w:pPr>
      <w:r w:rsidRPr="000113B8">
        <w:rPr>
          <w:rFonts w:ascii="Garamond" w:hAnsi="Garamond" w:cs="Arial"/>
          <w:noProof/>
          <w:color w:val="000000" w:themeColor="text1"/>
        </w:rPr>
        <w:drawing>
          <wp:inline distT="0" distB="0" distL="0" distR="0" wp14:anchorId="1701D5C4" wp14:editId="3C72739B">
            <wp:extent cx="5971540" cy="2274570"/>
            <wp:effectExtent l="38100" t="38100" r="29210" b="30480"/>
            <wp:docPr id="131819685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196856" name=""/>
                    <pic:cNvPicPr/>
                  </pic:nvPicPr>
                  <pic:blipFill>
                    <a:blip r:embed="rId50"/>
                    <a:stretch>
                      <a:fillRect/>
                    </a:stretch>
                  </pic:blipFill>
                  <pic:spPr>
                    <a:xfrm>
                      <a:off x="0" y="0"/>
                      <a:ext cx="5971540" cy="2274570"/>
                    </a:xfrm>
                    <a:prstGeom prst="rect">
                      <a:avLst/>
                    </a:prstGeom>
                    <a:ln w="38100">
                      <a:solidFill>
                        <a:schemeClr val="tx1"/>
                      </a:solidFill>
                    </a:ln>
                  </pic:spPr>
                </pic:pic>
              </a:graphicData>
            </a:graphic>
          </wp:inline>
        </w:drawing>
      </w:r>
    </w:p>
    <w:p w14:paraId="2932C2F7" w14:textId="77777777" w:rsidR="00D64467" w:rsidRPr="000113B8" w:rsidRDefault="00D64467" w:rsidP="00D64467">
      <w:pPr>
        <w:ind w:right="51"/>
        <w:contextualSpacing/>
        <w:jc w:val="center"/>
        <w:rPr>
          <w:rFonts w:ascii="Garamond" w:hAnsi="Garamond" w:cs="Arial"/>
          <w:color w:val="000000" w:themeColor="text1"/>
        </w:rPr>
      </w:pPr>
      <w:r w:rsidRPr="000113B8">
        <w:rPr>
          <w:rFonts w:ascii="Garamond" w:hAnsi="Garamond" w:cs="Arial"/>
          <w:color w:val="000000" w:themeColor="text1"/>
        </w:rPr>
        <w:t>Fuente: Agencia Nacional de Contratación Pública – Colombia Compra Eficiente – Análisis de la Oferta</w:t>
      </w:r>
    </w:p>
    <w:p w14:paraId="1B6E4AD6" w14:textId="77777777" w:rsidR="00D64467" w:rsidRPr="000113B8" w:rsidRDefault="00D64467" w:rsidP="00D64467">
      <w:pPr>
        <w:ind w:right="51"/>
        <w:contextualSpacing/>
        <w:jc w:val="center"/>
        <w:rPr>
          <w:rFonts w:ascii="Garamond" w:hAnsi="Garamond" w:cs="Arial"/>
          <w:color w:val="000000" w:themeColor="text1"/>
        </w:rPr>
      </w:pPr>
    </w:p>
    <w:p w14:paraId="7139A3B2" w14:textId="77777777" w:rsidR="00D64467" w:rsidRPr="000113B8" w:rsidRDefault="00D64467" w:rsidP="00D64467">
      <w:pPr>
        <w:jc w:val="both"/>
        <w:rPr>
          <w:rFonts w:ascii="Garamond" w:hAnsi="Garamond" w:cs="Arial"/>
          <w:color w:val="000000" w:themeColor="text1"/>
        </w:rPr>
      </w:pPr>
      <w:r w:rsidRPr="000113B8">
        <w:rPr>
          <w:rFonts w:ascii="Garamond" w:hAnsi="Garamond" w:cs="Arial"/>
          <w:color w:val="000000" w:themeColor="text1"/>
        </w:rPr>
        <w:t>Lo anterior, conlleva a que se hayan suscrito 1.636 contratos, con los diferentes proveedores, demostrando así la necesidad de cubrir no solo a las Entidades Estatales sino a las Privadas, contra la mayor cantidad de riesgos posibles a que se ven expuestas en el ejercicio normal de sus funciones.</w:t>
      </w:r>
    </w:p>
    <w:p w14:paraId="4B49C718" w14:textId="77777777" w:rsidR="00D64467" w:rsidRPr="000113B8" w:rsidRDefault="00D64467" w:rsidP="00D64467">
      <w:pPr>
        <w:jc w:val="both"/>
        <w:rPr>
          <w:rFonts w:ascii="Garamond" w:hAnsi="Garamond" w:cs="Arial"/>
          <w:color w:val="000000" w:themeColor="text1"/>
        </w:rPr>
      </w:pPr>
    </w:p>
    <w:p w14:paraId="6867BF0E" w14:textId="77777777" w:rsidR="00D64467" w:rsidRPr="000113B8" w:rsidRDefault="00D64467" w:rsidP="00D64467">
      <w:pPr>
        <w:jc w:val="both"/>
        <w:rPr>
          <w:rFonts w:ascii="Garamond" w:hAnsi="Garamond" w:cs="Arial"/>
          <w:color w:val="000000" w:themeColor="text1"/>
        </w:rPr>
      </w:pPr>
      <w:r w:rsidRPr="000113B8">
        <w:rPr>
          <w:rFonts w:ascii="Garamond" w:hAnsi="Garamond" w:cs="Arial"/>
          <w:noProof/>
          <w:color w:val="000000" w:themeColor="text1"/>
        </w:rPr>
        <w:drawing>
          <wp:inline distT="0" distB="0" distL="0" distR="0" wp14:anchorId="0DC9CC04" wp14:editId="11A46C9A">
            <wp:extent cx="5971540" cy="1708150"/>
            <wp:effectExtent l="38100" t="38100" r="29210" b="44450"/>
            <wp:docPr id="33942385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423853" name=""/>
                    <pic:cNvPicPr/>
                  </pic:nvPicPr>
                  <pic:blipFill>
                    <a:blip r:embed="rId51"/>
                    <a:stretch>
                      <a:fillRect/>
                    </a:stretch>
                  </pic:blipFill>
                  <pic:spPr>
                    <a:xfrm>
                      <a:off x="0" y="0"/>
                      <a:ext cx="5971540" cy="1708150"/>
                    </a:xfrm>
                    <a:prstGeom prst="rect">
                      <a:avLst/>
                    </a:prstGeom>
                    <a:ln w="38100">
                      <a:solidFill>
                        <a:schemeClr val="tx1"/>
                      </a:solidFill>
                    </a:ln>
                  </pic:spPr>
                </pic:pic>
              </a:graphicData>
            </a:graphic>
          </wp:inline>
        </w:drawing>
      </w:r>
    </w:p>
    <w:p w14:paraId="6F196608" w14:textId="77777777" w:rsidR="00D64467" w:rsidRPr="000113B8" w:rsidRDefault="00D64467" w:rsidP="00D64467">
      <w:pPr>
        <w:ind w:right="51"/>
        <w:contextualSpacing/>
        <w:jc w:val="center"/>
        <w:rPr>
          <w:rFonts w:ascii="Garamond" w:hAnsi="Garamond" w:cs="Arial"/>
          <w:color w:val="000000" w:themeColor="text1"/>
        </w:rPr>
      </w:pPr>
      <w:r w:rsidRPr="000113B8">
        <w:rPr>
          <w:rFonts w:ascii="Garamond" w:hAnsi="Garamond" w:cs="Arial"/>
          <w:color w:val="000000" w:themeColor="text1"/>
        </w:rPr>
        <w:t>Fuente: Agencia Nacional de Contratación Pública – Colombia Compra Eficiente – Análisis de la Oferta</w:t>
      </w:r>
    </w:p>
    <w:p w14:paraId="3C6C3AF7" w14:textId="77777777" w:rsidR="00D64467" w:rsidRPr="000113B8" w:rsidRDefault="00D64467" w:rsidP="00D64467">
      <w:pPr>
        <w:ind w:right="51"/>
        <w:contextualSpacing/>
        <w:jc w:val="center"/>
        <w:rPr>
          <w:rFonts w:ascii="Garamond" w:hAnsi="Garamond" w:cs="Arial"/>
          <w:color w:val="000000" w:themeColor="text1"/>
        </w:rPr>
      </w:pPr>
    </w:p>
    <w:p w14:paraId="1F1EEB87" w14:textId="77777777" w:rsidR="00D64467" w:rsidRPr="000113B8" w:rsidRDefault="00D64467" w:rsidP="00D64467">
      <w:pPr>
        <w:ind w:right="51"/>
        <w:contextualSpacing/>
        <w:jc w:val="both"/>
        <w:rPr>
          <w:rFonts w:ascii="Garamond" w:hAnsi="Garamond" w:cs="Arial"/>
          <w:color w:val="000000" w:themeColor="text1"/>
        </w:rPr>
      </w:pPr>
      <w:r w:rsidRPr="000113B8">
        <w:rPr>
          <w:rFonts w:ascii="Garamond" w:hAnsi="Garamond" w:cs="Arial"/>
          <w:color w:val="000000" w:themeColor="text1"/>
        </w:rPr>
        <w:t xml:space="preserve">Se evidencia que la compañía que encabeza la contratación de seguros es la Unión Temporal La Previsora, </w:t>
      </w:r>
      <w:proofErr w:type="spellStart"/>
      <w:r w:rsidRPr="000113B8">
        <w:rPr>
          <w:rFonts w:ascii="Garamond" w:hAnsi="Garamond" w:cs="Arial"/>
          <w:color w:val="000000" w:themeColor="text1"/>
        </w:rPr>
        <w:t>Sbs</w:t>
      </w:r>
      <w:proofErr w:type="spellEnd"/>
      <w:r w:rsidRPr="000113B8">
        <w:rPr>
          <w:rFonts w:ascii="Garamond" w:hAnsi="Garamond" w:cs="Arial"/>
          <w:color w:val="000000" w:themeColor="text1"/>
        </w:rPr>
        <w:t xml:space="preserve">, Chubb, Axa, </w:t>
      </w:r>
      <w:proofErr w:type="spellStart"/>
      <w:r w:rsidRPr="000113B8">
        <w:rPr>
          <w:rFonts w:ascii="Garamond" w:hAnsi="Garamond" w:cs="Arial"/>
          <w:color w:val="000000" w:themeColor="text1"/>
        </w:rPr>
        <w:t>Hdi</w:t>
      </w:r>
      <w:proofErr w:type="spellEnd"/>
      <w:r w:rsidRPr="000113B8">
        <w:rPr>
          <w:rFonts w:ascii="Garamond" w:hAnsi="Garamond" w:cs="Arial"/>
          <w:color w:val="000000" w:themeColor="text1"/>
        </w:rPr>
        <w:t>, Mapfre con un valor estimado de $81.409.832.120 vs el proveedor con mayor número de contratos celebrados que es Aseguradora Solidaria de Colombia Entidad Cooperativa con 342 contratos celebrados.</w:t>
      </w:r>
    </w:p>
    <w:p w14:paraId="003E4CB3" w14:textId="77777777" w:rsidR="00D64467" w:rsidRPr="000113B8" w:rsidRDefault="00D64467" w:rsidP="00D64467">
      <w:pPr>
        <w:ind w:right="51"/>
        <w:contextualSpacing/>
        <w:jc w:val="both"/>
        <w:rPr>
          <w:rFonts w:ascii="Garamond" w:hAnsi="Garamond" w:cs="Arial"/>
          <w:color w:val="000000" w:themeColor="text1"/>
        </w:rPr>
      </w:pPr>
    </w:p>
    <w:p w14:paraId="71111A68" w14:textId="77777777" w:rsidR="00D64467" w:rsidRPr="000113B8" w:rsidRDefault="00D64467" w:rsidP="00D64467">
      <w:pPr>
        <w:ind w:right="51"/>
        <w:contextualSpacing/>
        <w:jc w:val="both"/>
        <w:rPr>
          <w:rFonts w:ascii="Garamond" w:hAnsi="Garamond" w:cs="Arial"/>
          <w:color w:val="000000" w:themeColor="text1"/>
        </w:rPr>
      </w:pPr>
      <w:r w:rsidRPr="000113B8">
        <w:rPr>
          <w:rFonts w:ascii="Garamond" w:hAnsi="Garamond" w:cs="Arial"/>
          <w:noProof/>
          <w:color w:val="000000" w:themeColor="text1"/>
        </w:rPr>
        <w:drawing>
          <wp:inline distT="0" distB="0" distL="0" distR="0" wp14:anchorId="6BE71DCB" wp14:editId="1C6EEA63">
            <wp:extent cx="5753100" cy="2076450"/>
            <wp:effectExtent l="38100" t="38100" r="38100" b="38100"/>
            <wp:docPr id="6466744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674430" name=""/>
                    <pic:cNvPicPr/>
                  </pic:nvPicPr>
                  <pic:blipFill>
                    <a:blip r:embed="rId52"/>
                    <a:stretch>
                      <a:fillRect/>
                    </a:stretch>
                  </pic:blipFill>
                  <pic:spPr>
                    <a:xfrm>
                      <a:off x="0" y="0"/>
                      <a:ext cx="5753100" cy="2076450"/>
                    </a:xfrm>
                    <a:prstGeom prst="rect">
                      <a:avLst/>
                    </a:prstGeom>
                    <a:ln w="38100">
                      <a:solidFill>
                        <a:schemeClr val="tx1"/>
                      </a:solidFill>
                    </a:ln>
                  </pic:spPr>
                </pic:pic>
              </a:graphicData>
            </a:graphic>
          </wp:inline>
        </w:drawing>
      </w:r>
    </w:p>
    <w:p w14:paraId="382F0E81" w14:textId="77777777" w:rsidR="00D64467" w:rsidRPr="000113B8" w:rsidRDefault="00D64467" w:rsidP="00D64467">
      <w:pPr>
        <w:ind w:right="51"/>
        <w:contextualSpacing/>
        <w:jc w:val="center"/>
        <w:rPr>
          <w:rFonts w:ascii="Garamond" w:hAnsi="Garamond" w:cs="Arial"/>
          <w:color w:val="000000" w:themeColor="text1"/>
        </w:rPr>
      </w:pPr>
      <w:r w:rsidRPr="000113B8">
        <w:rPr>
          <w:rFonts w:ascii="Garamond" w:hAnsi="Garamond" w:cs="Arial"/>
          <w:color w:val="000000" w:themeColor="text1"/>
        </w:rPr>
        <w:t>Fuente: Agencia Nacional de Contratación Pública – Colombia Compra Eficiente – Análisis de la Oferta</w:t>
      </w:r>
    </w:p>
    <w:p w14:paraId="004C435C" w14:textId="77777777" w:rsidR="00D64467" w:rsidRPr="000113B8" w:rsidRDefault="00D64467" w:rsidP="00D64467">
      <w:pPr>
        <w:ind w:right="51"/>
        <w:contextualSpacing/>
        <w:jc w:val="both"/>
        <w:rPr>
          <w:rFonts w:ascii="Garamond" w:hAnsi="Garamond" w:cs="Arial"/>
          <w:color w:val="000000" w:themeColor="text1"/>
        </w:rPr>
      </w:pPr>
    </w:p>
    <w:p w14:paraId="08C0C165" w14:textId="77777777" w:rsidR="00D64467" w:rsidRPr="000113B8" w:rsidRDefault="00D64467" w:rsidP="00D64467">
      <w:pPr>
        <w:ind w:right="51"/>
        <w:contextualSpacing/>
        <w:jc w:val="both"/>
        <w:rPr>
          <w:rFonts w:ascii="Garamond" w:hAnsi="Garamond" w:cs="Arial"/>
          <w:color w:val="000000" w:themeColor="text1"/>
        </w:rPr>
      </w:pPr>
      <w:r w:rsidRPr="000113B8">
        <w:rPr>
          <w:rFonts w:ascii="Garamond" w:hAnsi="Garamond" w:cs="Arial"/>
          <w:color w:val="000000" w:themeColor="text1"/>
        </w:rPr>
        <w:t>Finalmente, se observa que en total el número de proveedores fue de 137 teniendo en cuenta que dependiendo del riesgo se conforman diferentes uniones temporales.</w:t>
      </w:r>
    </w:p>
    <w:p w14:paraId="48AFE1E7" w14:textId="77777777" w:rsidR="003921EF" w:rsidRPr="000113B8" w:rsidRDefault="003921EF" w:rsidP="000F7BED">
      <w:pPr>
        <w:pStyle w:val="Prrafodelista"/>
        <w:ind w:left="360" w:firstLine="0"/>
        <w:rPr>
          <w:rFonts w:ascii="Garamond" w:hAnsi="Garamond"/>
          <w:b/>
          <w:bCs/>
          <w:color w:val="000000" w:themeColor="text1"/>
        </w:rPr>
      </w:pPr>
    </w:p>
    <w:p w14:paraId="7D91D0B8" w14:textId="565DF41B" w:rsidR="00EF045C" w:rsidRPr="000113B8" w:rsidRDefault="00131976" w:rsidP="00C54B99">
      <w:pPr>
        <w:pStyle w:val="Prrafodelista"/>
        <w:numPr>
          <w:ilvl w:val="0"/>
          <w:numId w:val="22"/>
        </w:numPr>
        <w:rPr>
          <w:rFonts w:ascii="Garamond" w:hAnsi="Garamond"/>
          <w:b/>
          <w:bCs/>
          <w:color w:val="000000" w:themeColor="text1"/>
        </w:rPr>
      </w:pPr>
      <w:r w:rsidRPr="000113B8">
        <w:rPr>
          <w:rFonts w:ascii="Garamond" w:hAnsi="Garamond"/>
          <w:b/>
          <w:bCs/>
          <w:color w:val="000000" w:themeColor="text1"/>
        </w:rPr>
        <w:t>ESTUDIO DE LA DEMANDA</w:t>
      </w:r>
    </w:p>
    <w:p w14:paraId="33C35537" w14:textId="77777777" w:rsidR="00EF045C" w:rsidRPr="000113B8" w:rsidRDefault="00EF045C" w:rsidP="00F7743C">
      <w:pPr>
        <w:pStyle w:val="Default"/>
        <w:jc w:val="both"/>
        <w:rPr>
          <w:rFonts w:ascii="Garamond" w:hAnsi="Garamond"/>
          <w:color w:val="000000" w:themeColor="text1"/>
          <w:sz w:val="22"/>
          <w:szCs w:val="22"/>
        </w:rPr>
      </w:pPr>
    </w:p>
    <w:p w14:paraId="7D6DA48F" w14:textId="77777777" w:rsidR="007D408F" w:rsidRPr="000113B8" w:rsidRDefault="007D408F" w:rsidP="007D408F">
      <w:pPr>
        <w:jc w:val="both"/>
        <w:rPr>
          <w:rFonts w:ascii="Garamond" w:hAnsi="Garamond" w:cs="Arial"/>
          <w:color w:val="000000" w:themeColor="text1"/>
        </w:rPr>
      </w:pPr>
      <w:r w:rsidRPr="000113B8">
        <w:rPr>
          <w:rFonts w:ascii="Garamond" w:hAnsi="Garamond" w:cs="Arial"/>
          <w:color w:val="000000" w:themeColor="text1"/>
        </w:rPr>
        <w:t>La demanda muestra la necesidad real del mercado y la disposición de los usuarios a consumir servicios o productos. Comprenderla es fundamental antes de analizar un sector, ya que permite identificar quiénes son los consumidores, qué esperan, cuáles son sus limitaciones y cómo varía su comportamiento frente a cambios en precio o disponibilidad.</w:t>
      </w:r>
    </w:p>
    <w:p w14:paraId="0CF711AC" w14:textId="77777777" w:rsidR="007D408F" w:rsidRPr="000113B8" w:rsidRDefault="007D408F" w:rsidP="00163337">
      <w:pPr>
        <w:jc w:val="both"/>
        <w:rPr>
          <w:rFonts w:ascii="Garamond" w:hAnsi="Garamond" w:cs="Arial"/>
          <w:color w:val="000000" w:themeColor="text1"/>
          <w:lang w:val="es-CO"/>
        </w:rPr>
      </w:pPr>
    </w:p>
    <w:p w14:paraId="0EC9BA31" w14:textId="184AE9C6" w:rsidR="00163337" w:rsidRPr="000113B8" w:rsidRDefault="00163337" w:rsidP="00163337">
      <w:pPr>
        <w:jc w:val="both"/>
        <w:rPr>
          <w:rFonts w:ascii="Garamond" w:hAnsi="Garamond" w:cs="Arial"/>
          <w:color w:val="000000" w:themeColor="text1"/>
          <w:lang w:val="es-CO"/>
        </w:rPr>
      </w:pPr>
      <w:r w:rsidRPr="000113B8">
        <w:rPr>
          <w:rFonts w:ascii="Garamond" w:hAnsi="Garamond" w:cs="Arial"/>
          <w:color w:val="000000" w:themeColor="text1"/>
          <w:lang w:val="es-CO"/>
        </w:rPr>
        <w:t xml:space="preserve">Dentro de este proceso, para efectos de análisis de la demanda y conocer algunos determinantes en las modalidades y condiciones de adquisición, tipo de proceso, valor adjudicado, fecha de adjudicación, forma de pago, plazo de ejecución y experiencia habilitante a exigir de acuerdo al tercer nivel de la codificación - UNSPSC - (The </w:t>
      </w:r>
      <w:proofErr w:type="spellStart"/>
      <w:r w:rsidRPr="000113B8">
        <w:rPr>
          <w:rFonts w:ascii="Garamond" w:hAnsi="Garamond" w:cs="Arial"/>
          <w:color w:val="000000" w:themeColor="text1"/>
          <w:lang w:val="es-CO"/>
        </w:rPr>
        <w:t>United</w:t>
      </w:r>
      <w:proofErr w:type="spellEnd"/>
      <w:r w:rsidRPr="000113B8">
        <w:rPr>
          <w:rFonts w:ascii="Garamond" w:hAnsi="Garamond" w:cs="Arial"/>
          <w:color w:val="000000" w:themeColor="text1"/>
          <w:lang w:val="es-CO"/>
        </w:rPr>
        <w:t xml:space="preserve"> Nations Standard </w:t>
      </w:r>
      <w:proofErr w:type="spellStart"/>
      <w:r w:rsidRPr="000113B8">
        <w:rPr>
          <w:rFonts w:ascii="Garamond" w:hAnsi="Garamond" w:cs="Arial"/>
          <w:color w:val="000000" w:themeColor="text1"/>
          <w:lang w:val="es-CO"/>
        </w:rPr>
        <w:t>Products</w:t>
      </w:r>
      <w:proofErr w:type="spellEnd"/>
      <w:r w:rsidRPr="000113B8">
        <w:rPr>
          <w:rFonts w:ascii="Garamond" w:hAnsi="Garamond" w:cs="Arial"/>
          <w:color w:val="000000" w:themeColor="text1"/>
          <w:lang w:val="es-CO"/>
        </w:rPr>
        <w:t xml:space="preserve"> and </w:t>
      </w:r>
      <w:proofErr w:type="spellStart"/>
      <w:r w:rsidRPr="000113B8">
        <w:rPr>
          <w:rFonts w:ascii="Garamond" w:hAnsi="Garamond" w:cs="Arial"/>
          <w:color w:val="000000" w:themeColor="text1"/>
          <w:lang w:val="es-CO"/>
        </w:rPr>
        <w:t>Services</w:t>
      </w:r>
      <w:proofErr w:type="spellEnd"/>
      <w:r w:rsidRPr="000113B8">
        <w:rPr>
          <w:rFonts w:ascii="Garamond" w:hAnsi="Garamond" w:cs="Arial"/>
          <w:color w:val="000000" w:themeColor="text1"/>
          <w:lang w:val="es-CO"/>
        </w:rPr>
        <w:t xml:space="preserve"> Code) – (Codificación Estándar de Productos y Servicios de Naciones Unidas) y riesgos derivados de los procesos de selección se analizarán procesos de la Alcaldía local de Sumapaz y de otras entidades, consumidores del bien o servicio, en diferentes modalidades que guarden similitud con el objeto a contratar.</w:t>
      </w:r>
    </w:p>
    <w:p w14:paraId="1FB182CC" w14:textId="77777777" w:rsidR="00533D0B" w:rsidRPr="000113B8" w:rsidRDefault="00533D0B" w:rsidP="00163337">
      <w:pPr>
        <w:jc w:val="both"/>
        <w:rPr>
          <w:rFonts w:ascii="Garamond" w:hAnsi="Garamond" w:cs="Arial"/>
          <w:color w:val="000000" w:themeColor="text1"/>
          <w:lang w:val="es-CO"/>
        </w:rPr>
      </w:pPr>
    </w:p>
    <w:p w14:paraId="1888D1E0" w14:textId="011C4C93" w:rsidR="00A54369" w:rsidRPr="000113B8" w:rsidRDefault="00A54369" w:rsidP="00C54B99">
      <w:pPr>
        <w:pStyle w:val="Prrafodelista"/>
        <w:numPr>
          <w:ilvl w:val="1"/>
          <w:numId w:val="24"/>
        </w:numPr>
        <w:rPr>
          <w:rFonts w:ascii="Garamond" w:hAnsi="Garamond" w:cs="Arial"/>
          <w:b/>
          <w:color w:val="000000" w:themeColor="text1"/>
          <w:lang w:val="es-CO"/>
        </w:rPr>
      </w:pPr>
      <w:r w:rsidRPr="000113B8">
        <w:rPr>
          <w:rFonts w:ascii="Garamond" w:hAnsi="Garamond" w:cs="Arial"/>
          <w:b/>
          <w:color w:val="000000" w:themeColor="text1"/>
          <w:lang w:val="es-CO"/>
        </w:rPr>
        <w:t>COMPORTAMIENTO DEL GASTO HISTÓRICO</w:t>
      </w:r>
    </w:p>
    <w:p w14:paraId="53E83107" w14:textId="77777777" w:rsidR="00A54369" w:rsidRPr="000113B8" w:rsidRDefault="00A54369" w:rsidP="00A54369">
      <w:pPr>
        <w:rPr>
          <w:rFonts w:ascii="Garamond" w:hAnsi="Garamond" w:cs="Arial"/>
          <w:b/>
          <w:color w:val="000000" w:themeColor="text1"/>
          <w:lang w:val="es-CO"/>
        </w:rPr>
      </w:pPr>
    </w:p>
    <w:p w14:paraId="41927060" w14:textId="77777777" w:rsidR="007D408F" w:rsidRPr="000113B8" w:rsidRDefault="007D408F" w:rsidP="007D408F">
      <w:pPr>
        <w:jc w:val="both"/>
        <w:rPr>
          <w:rFonts w:ascii="Garamond" w:hAnsi="Garamond" w:cs="Arial"/>
          <w:color w:val="000000" w:themeColor="text1"/>
          <w:lang w:val="es-CO"/>
        </w:rPr>
      </w:pPr>
      <w:r w:rsidRPr="000113B8">
        <w:rPr>
          <w:rFonts w:ascii="Garamond" w:hAnsi="Garamond" w:cs="Arial"/>
          <w:color w:val="000000" w:themeColor="text1"/>
          <w:lang w:val="es-CO"/>
        </w:rPr>
        <w:t>En este numeral se analizan los procesos adelantados por el Fondo de Desarrollo Rural de Sumapaz y por otras entidades con objetos similares al del presente estudio, con el fin de identificar las modalidades de selección comúnmente utilizadas, las principales variables de los contratos, los precios contratados y los oferentes adjudicatarios. Lo anterior con el fin de obtener información relevante para el proceso de contratación. Para lo cual se usa la información reportada en el Sistema Electrónico de Contratación Pública (SECOP). De igual forma, se realizaron consultas en del Modelo de Abastecimiento Estratégico de CCE (MAE), SECOP, y en el portal Datos Abiertos Colombia, identificando contrataciones similares adelantadas por otras entidades. Los resultados del análisis se presentan a continuación.</w:t>
      </w:r>
    </w:p>
    <w:p w14:paraId="6250AE96" w14:textId="77777777" w:rsidR="00DF4F9E" w:rsidRPr="000113B8" w:rsidRDefault="00DF4F9E" w:rsidP="00A54369">
      <w:pPr>
        <w:pStyle w:val="Prrafodelista"/>
        <w:rPr>
          <w:rFonts w:ascii="Garamond" w:hAnsi="Garamond" w:cs="Arial"/>
          <w:b/>
          <w:color w:val="000000" w:themeColor="text1"/>
          <w:lang w:val="es-CO"/>
        </w:rPr>
      </w:pPr>
    </w:p>
    <w:p w14:paraId="0B0F12A2" w14:textId="4D8A7A39" w:rsidR="00A54369" w:rsidRPr="000113B8" w:rsidRDefault="00A54369" w:rsidP="00C54B99">
      <w:pPr>
        <w:pStyle w:val="Prrafodelista"/>
        <w:numPr>
          <w:ilvl w:val="2"/>
          <w:numId w:val="24"/>
        </w:numPr>
        <w:rPr>
          <w:rFonts w:ascii="Garamond" w:hAnsi="Garamond"/>
          <w:b/>
          <w:color w:val="000000" w:themeColor="text1"/>
        </w:rPr>
      </w:pPr>
      <w:r w:rsidRPr="000113B8">
        <w:rPr>
          <w:rFonts w:ascii="Garamond" w:hAnsi="Garamond"/>
          <w:b/>
          <w:bCs/>
          <w:color w:val="000000" w:themeColor="text1"/>
        </w:rPr>
        <w:t xml:space="preserve">HISTÓRICO DE CONTRATACIÓN </w:t>
      </w:r>
      <w:r w:rsidR="00D03DFD" w:rsidRPr="000113B8">
        <w:rPr>
          <w:rFonts w:ascii="Garamond" w:hAnsi="Garamond"/>
          <w:b/>
          <w:bCs/>
          <w:color w:val="000000" w:themeColor="text1"/>
        </w:rPr>
        <w:t xml:space="preserve">DEL </w:t>
      </w:r>
      <w:r w:rsidRPr="000113B8">
        <w:rPr>
          <w:rFonts w:ascii="Garamond" w:hAnsi="Garamond"/>
          <w:b/>
          <w:color w:val="000000" w:themeColor="text1"/>
        </w:rPr>
        <w:t>FONDO DE DESARROLLO RURAL DE SUMAPAZ</w:t>
      </w:r>
    </w:p>
    <w:p w14:paraId="01C89467" w14:textId="77777777" w:rsidR="007D408F" w:rsidRPr="000113B8" w:rsidRDefault="007D408F" w:rsidP="006D1503">
      <w:pPr>
        <w:jc w:val="both"/>
        <w:rPr>
          <w:rFonts w:ascii="Garamond" w:hAnsi="Garamond"/>
          <w:b/>
          <w:color w:val="000000" w:themeColor="text1"/>
        </w:rPr>
      </w:pPr>
    </w:p>
    <w:p w14:paraId="2697DA18" w14:textId="77777777" w:rsidR="006D1503" w:rsidRPr="000113B8" w:rsidRDefault="006D1503" w:rsidP="006D1503">
      <w:pPr>
        <w:pStyle w:val="Default"/>
        <w:jc w:val="both"/>
        <w:rPr>
          <w:rFonts w:ascii="Garamond" w:hAnsi="Garamond"/>
          <w:bCs/>
          <w:color w:val="000000" w:themeColor="text1"/>
          <w:sz w:val="22"/>
          <w:szCs w:val="22"/>
        </w:rPr>
      </w:pPr>
      <w:r w:rsidRPr="000113B8">
        <w:rPr>
          <w:rFonts w:ascii="Garamond" w:hAnsi="Garamond"/>
          <w:bCs/>
          <w:color w:val="000000" w:themeColor="text1"/>
          <w:sz w:val="22"/>
          <w:szCs w:val="22"/>
        </w:rPr>
        <w:t xml:space="preserve">En el último año, la Alcaldía Local de Sumapaz ha orientado sus esfuerzos hacia el fortalecimiento de las condiciones de bienestar y protección de los ediles de la localidad, mediante la implementación de estrategias que permitan mitigar los riesgos inherentes al ejercicio de sus funciones. No obstante, estos esfuerzos se han </w:t>
      </w:r>
      <w:r w:rsidRPr="000113B8">
        <w:rPr>
          <w:rFonts w:ascii="Garamond" w:hAnsi="Garamond"/>
          <w:bCs/>
          <w:color w:val="000000" w:themeColor="text1"/>
          <w:sz w:val="22"/>
          <w:szCs w:val="22"/>
        </w:rPr>
        <w:lastRenderedPageBreak/>
        <w:t>visto condicionados por factores como la disponibilidad presupuestal, las condiciones propias del territorio rural, la dispersión geográfica y las dinámicas sociales que inciden en el desarrollo de sus actividades.</w:t>
      </w:r>
    </w:p>
    <w:p w14:paraId="0B0392DA" w14:textId="77777777" w:rsidR="006D1503" w:rsidRPr="000113B8" w:rsidRDefault="006D1503" w:rsidP="006D1503">
      <w:pPr>
        <w:pStyle w:val="Default"/>
        <w:jc w:val="both"/>
        <w:rPr>
          <w:rFonts w:ascii="Garamond" w:hAnsi="Garamond"/>
          <w:bCs/>
          <w:color w:val="000000" w:themeColor="text1"/>
          <w:sz w:val="22"/>
          <w:szCs w:val="22"/>
        </w:rPr>
      </w:pPr>
    </w:p>
    <w:p w14:paraId="2A969CEB" w14:textId="77777777" w:rsidR="006D1503" w:rsidRPr="000113B8" w:rsidRDefault="006D1503" w:rsidP="006D1503">
      <w:pPr>
        <w:pStyle w:val="Default"/>
        <w:jc w:val="both"/>
        <w:rPr>
          <w:rFonts w:ascii="Garamond" w:hAnsi="Garamond"/>
          <w:bCs/>
          <w:color w:val="000000" w:themeColor="text1"/>
          <w:sz w:val="22"/>
          <w:szCs w:val="22"/>
        </w:rPr>
      </w:pPr>
      <w:r w:rsidRPr="000113B8">
        <w:rPr>
          <w:rFonts w:ascii="Garamond" w:hAnsi="Garamond"/>
          <w:bCs/>
          <w:color w:val="000000" w:themeColor="text1"/>
          <w:sz w:val="22"/>
          <w:szCs w:val="22"/>
        </w:rPr>
        <w:t>Para el caso particular de la Localidad de Sumapaz, al ser una zona 100% rural y con amplias extensiones territoriales, se hace necesario garantizar mecanismos de protección que salvaguarden la integridad y seguridad de los ediles en el cumplimiento de sus labores, procurando generar el menor impacto en las condiciones actuales del territorio. En este sentido, la inversión se orienta a la contratación de pólizas de vida, como un instrumento que permita brindar respaldo y cobertura frente a posibles eventualidades.</w:t>
      </w:r>
    </w:p>
    <w:p w14:paraId="6AFCD95F" w14:textId="77777777" w:rsidR="006D1503" w:rsidRPr="000113B8" w:rsidRDefault="006D1503" w:rsidP="006D1503">
      <w:pPr>
        <w:pStyle w:val="Default"/>
        <w:jc w:val="both"/>
        <w:rPr>
          <w:rFonts w:ascii="Garamond" w:hAnsi="Garamond"/>
          <w:bCs/>
          <w:color w:val="000000" w:themeColor="text1"/>
          <w:sz w:val="22"/>
          <w:szCs w:val="22"/>
        </w:rPr>
      </w:pPr>
    </w:p>
    <w:p w14:paraId="6F0EA0CF" w14:textId="2341D1C2" w:rsidR="006D1503" w:rsidRPr="000113B8" w:rsidRDefault="006D1503" w:rsidP="006D1503">
      <w:pPr>
        <w:pStyle w:val="Default"/>
        <w:jc w:val="both"/>
        <w:rPr>
          <w:rFonts w:ascii="Garamond" w:hAnsi="Garamond"/>
          <w:bCs/>
          <w:color w:val="000000" w:themeColor="text1"/>
          <w:sz w:val="22"/>
          <w:szCs w:val="22"/>
        </w:rPr>
      </w:pPr>
      <w:r w:rsidRPr="000113B8">
        <w:rPr>
          <w:rFonts w:ascii="Garamond" w:hAnsi="Garamond"/>
          <w:bCs/>
          <w:color w:val="000000" w:themeColor="text1"/>
          <w:sz w:val="22"/>
          <w:szCs w:val="22"/>
        </w:rPr>
        <w:t>En consecuencia, a continuación, se relacionan el proceso contractual adelantado en materia de contratación de pólizas de vida para ediles durante el 2025.</w:t>
      </w:r>
    </w:p>
    <w:p w14:paraId="54DF26D6" w14:textId="77777777" w:rsidR="00DF4F9E" w:rsidRPr="000113B8" w:rsidRDefault="00DF4F9E" w:rsidP="00A54369">
      <w:pPr>
        <w:pStyle w:val="Default"/>
        <w:jc w:val="both"/>
        <w:rPr>
          <w:rFonts w:ascii="Garamond" w:hAnsi="Garamond"/>
          <w:b/>
          <w:color w:val="000000" w:themeColor="text1"/>
          <w:sz w:val="22"/>
          <w:szCs w:val="22"/>
        </w:rPr>
      </w:pPr>
    </w:p>
    <w:tbl>
      <w:tblPr>
        <w:tblW w:w="9346" w:type="dxa"/>
        <w:tblLayout w:type="fixed"/>
        <w:tblCellMar>
          <w:left w:w="70" w:type="dxa"/>
          <w:right w:w="70" w:type="dxa"/>
        </w:tblCellMar>
        <w:tblLook w:val="04A0" w:firstRow="1" w:lastRow="0" w:firstColumn="1" w:lastColumn="0" w:noHBand="0" w:noVBand="1"/>
      </w:tblPr>
      <w:tblGrid>
        <w:gridCol w:w="1975"/>
        <w:gridCol w:w="7371"/>
      </w:tblGrid>
      <w:tr w:rsidR="009A7F8F" w:rsidRPr="000113B8" w14:paraId="5C83BAC1" w14:textId="77777777" w:rsidTr="001C656D">
        <w:trPr>
          <w:trHeight w:val="375"/>
        </w:trPr>
        <w:tc>
          <w:tcPr>
            <w:tcW w:w="1975" w:type="dxa"/>
            <w:tcBorders>
              <w:top w:val="single" w:sz="8" w:space="0" w:color="auto"/>
              <w:left w:val="single" w:sz="8" w:space="0" w:color="auto"/>
              <w:bottom w:val="single" w:sz="8" w:space="0" w:color="auto"/>
              <w:right w:val="single" w:sz="8" w:space="0" w:color="000000"/>
            </w:tcBorders>
            <w:shd w:val="clear" w:color="000000" w:fill="D9D9D9"/>
            <w:vAlign w:val="center"/>
            <w:hideMark/>
          </w:tcPr>
          <w:p w14:paraId="5C9C5D15" w14:textId="77777777" w:rsidR="00DF4F9E" w:rsidRPr="000113B8" w:rsidRDefault="00DF4F9E" w:rsidP="00FD5FA6">
            <w:pPr>
              <w:jc w:val="center"/>
              <w:rPr>
                <w:rFonts w:ascii="Garamond" w:hAnsi="Garamond" w:cs="Calibri"/>
                <w:b/>
                <w:bCs/>
                <w:color w:val="000000" w:themeColor="text1"/>
                <w:lang w:eastAsia="es-CO"/>
              </w:rPr>
            </w:pPr>
            <w:r w:rsidRPr="000113B8">
              <w:rPr>
                <w:rFonts w:ascii="Garamond" w:hAnsi="Garamond" w:cs="Calibri"/>
                <w:b/>
                <w:bCs/>
                <w:color w:val="000000" w:themeColor="text1"/>
                <w:lang w:eastAsia="es-CO"/>
              </w:rPr>
              <w:t>ENTIDAD</w:t>
            </w:r>
          </w:p>
        </w:tc>
        <w:tc>
          <w:tcPr>
            <w:tcW w:w="7371" w:type="dxa"/>
            <w:tcBorders>
              <w:top w:val="single" w:sz="8" w:space="0" w:color="auto"/>
              <w:left w:val="nil"/>
              <w:bottom w:val="single" w:sz="8" w:space="0" w:color="auto"/>
              <w:right w:val="single" w:sz="8" w:space="0" w:color="auto"/>
            </w:tcBorders>
            <w:vAlign w:val="center"/>
          </w:tcPr>
          <w:p w14:paraId="75ABD7D3" w14:textId="4ABA1911" w:rsidR="00DF4F9E" w:rsidRPr="000113B8" w:rsidRDefault="007D408F" w:rsidP="00FD5FA6">
            <w:pPr>
              <w:rPr>
                <w:rFonts w:ascii="Garamond" w:hAnsi="Garamond" w:cs="Calibri"/>
                <w:b/>
                <w:bCs/>
                <w:color w:val="000000" w:themeColor="text1"/>
                <w:lang w:eastAsia="es-CO"/>
              </w:rPr>
            </w:pPr>
            <w:r w:rsidRPr="000113B8">
              <w:rPr>
                <w:rFonts w:ascii="Garamond" w:hAnsi="Garamond" w:cs="Calibri"/>
                <w:b/>
                <w:bCs/>
                <w:color w:val="000000" w:themeColor="text1"/>
                <w:lang w:eastAsia="es-CO"/>
              </w:rPr>
              <w:t>ALCALDIA LOCAL DE SUMAPAZ</w:t>
            </w:r>
          </w:p>
        </w:tc>
      </w:tr>
      <w:tr w:rsidR="009A7F8F" w:rsidRPr="000113B8" w14:paraId="174E2134" w14:textId="77777777" w:rsidTr="001C656D">
        <w:trPr>
          <w:trHeight w:val="315"/>
        </w:trPr>
        <w:tc>
          <w:tcPr>
            <w:tcW w:w="1975" w:type="dxa"/>
            <w:tcBorders>
              <w:top w:val="single" w:sz="8" w:space="0" w:color="auto"/>
              <w:left w:val="single" w:sz="8" w:space="0" w:color="auto"/>
              <w:bottom w:val="single" w:sz="8" w:space="0" w:color="auto"/>
              <w:right w:val="single" w:sz="8" w:space="0" w:color="000000"/>
            </w:tcBorders>
            <w:shd w:val="clear" w:color="000000" w:fill="D9D9D9"/>
            <w:vAlign w:val="center"/>
            <w:hideMark/>
          </w:tcPr>
          <w:p w14:paraId="44A056C1" w14:textId="77777777" w:rsidR="00DF4F9E" w:rsidRPr="000113B8" w:rsidRDefault="00DF4F9E" w:rsidP="00FD5FA6">
            <w:pPr>
              <w:jc w:val="center"/>
              <w:rPr>
                <w:rFonts w:ascii="Garamond" w:hAnsi="Garamond" w:cs="Calibri"/>
                <w:b/>
                <w:bCs/>
                <w:color w:val="000000" w:themeColor="text1"/>
                <w:lang w:eastAsia="es-CO"/>
              </w:rPr>
            </w:pPr>
            <w:r w:rsidRPr="000113B8">
              <w:rPr>
                <w:rFonts w:ascii="Garamond" w:hAnsi="Garamond" w:cs="Calibri"/>
                <w:b/>
                <w:bCs/>
                <w:color w:val="000000" w:themeColor="text1"/>
                <w:lang w:eastAsia="es-CO"/>
              </w:rPr>
              <w:t>REFERENCIA DEL PROCESO</w:t>
            </w:r>
          </w:p>
        </w:tc>
        <w:tc>
          <w:tcPr>
            <w:tcW w:w="7371" w:type="dxa"/>
            <w:tcBorders>
              <w:top w:val="nil"/>
              <w:left w:val="nil"/>
              <w:bottom w:val="single" w:sz="8" w:space="0" w:color="auto"/>
              <w:right w:val="single" w:sz="8" w:space="0" w:color="auto"/>
            </w:tcBorders>
            <w:noWrap/>
            <w:vAlign w:val="center"/>
          </w:tcPr>
          <w:p w14:paraId="562CFF61" w14:textId="6C475C79" w:rsidR="00DF4F9E" w:rsidRPr="000113B8" w:rsidRDefault="00B343BF" w:rsidP="00FD5FA6">
            <w:pPr>
              <w:rPr>
                <w:rFonts w:ascii="Garamond" w:hAnsi="Garamond" w:cs="Arial"/>
                <w:color w:val="000000" w:themeColor="text1"/>
                <w:lang w:eastAsia="es-CO"/>
              </w:rPr>
            </w:pPr>
            <w:r w:rsidRPr="000113B8">
              <w:rPr>
                <w:rFonts w:ascii="Garamond" w:hAnsi="Garamond" w:cs="Arial"/>
                <w:color w:val="000000" w:themeColor="text1"/>
                <w:lang w:eastAsia="es-CO"/>
              </w:rPr>
              <w:t>FDRS-MC-231-2025</w:t>
            </w:r>
          </w:p>
        </w:tc>
      </w:tr>
      <w:tr w:rsidR="009A7F8F" w:rsidRPr="000113B8" w14:paraId="5BD86364" w14:textId="77777777" w:rsidTr="001C656D">
        <w:trPr>
          <w:trHeight w:val="387"/>
        </w:trPr>
        <w:tc>
          <w:tcPr>
            <w:tcW w:w="1975" w:type="dxa"/>
            <w:tcBorders>
              <w:top w:val="single" w:sz="8" w:space="0" w:color="auto"/>
              <w:left w:val="single" w:sz="8" w:space="0" w:color="auto"/>
              <w:bottom w:val="single" w:sz="8" w:space="0" w:color="000000"/>
              <w:right w:val="single" w:sz="8" w:space="0" w:color="000000"/>
            </w:tcBorders>
            <w:shd w:val="clear" w:color="000000" w:fill="D9D9D9"/>
            <w:vAlign w:val="center"/>
            <w:hideMark/>
          </w:tcPr>
          <w:p w14:paraId="2B5C9020" w14:textId="77777777" w:rsidR="00DF4F9E" w:rsidRPr="000113B8" w:rsidRDefault="00DF4F9E" w:rsidP="00FD5FA6">
            <w:pPr>
              <w:jc w:val="center"/>
              <w:rPr>
                <w:rFonts w:ascii="Garamond" w:hAnsi="Garamond" w:cs="Calibri"/>
                <w:b/>
                <w:bCs/>
                <w:color w:val="000000" w:themeColor="text1"/>
                <w:lang w:eastAsia="es-CO"/>
              </w:rPr>
            </w:pPr>
            <w:r w:rsidRPr="000113B8">
              <w:rPr>
                <w:rFonts w:ascii="Garamond" w:hAnsi="Garamond" w:cs="Calibri"/>
                <w:b/>
                <w:bCs/>
                <w:color w:val="000000" w:themeColor="text1"/>
                <w:lang w:eastAsia="es-CO"/>
              </w:rPr>
              <w:t>OBJETO</w:t>
            </w:r>
          </w:p>
        </w:tc>
        <w:tc>
          <w:tcPr>
            <w:tcW w:w="7371" w:type="dxa"/>
            <w:tcBorders>
              <w:top w:val="nil"/>
              <w:left w:val="nil"/>
              <w:bottom w:val="single" w:sz="8" w:space="0" w:color="000000"/>
              <w:right w:val="single" w:sz="8" w:space="0" w:color="auto"/>
            </w:tcBorders>
            <w:vAlign w:val="center"/>
          </w:tcPr>
          <w:p w14:paraId="1911D300" w14:textId="6258ECEF" w:rsidR="00DF4F9E" w:rsidRPr="000113B8" w:rsidRDefault="00B343BF" w:rsidP="00FD5FA6">
            <w:pPr>
              <w:rPr>
                <w:rFonts w:ascii="Garamond" w:hAnsi="Garamond" w:cs="Calibri"/>
                <w:color w:val="000000" w:themeColor="text1"/>
                <w:lang w:eastAsia="es-CO"/>
              </w:rPr>
            </w:pPr>
            <w:r w:rsidRPr="000113B8">
              <w:rPr>
                <w:rFonts w:ascii="Garamond" w:hAnsi="Garamond" w:cs="Calibri"/>
                <w:color w:val="000000" w:themeColor="text1"/>
                <w:lang w:eastAsia="es-CO"/>
              </w:rPr>
              <w:t>CONTRATAR LA PÓLIZA DE VIDA PARA LOS EDILES DE LA ALCALDIA LOCAL DE SUMAPAZ</w:t>
            </w:r>
          </w:p>
        </w:tc>
      </w:tr>
      <w:tr w:rsidR="009A7F8F" w:rsidRPr="000113B8" w14:paraId="7B1D981C" w14:textId="77777777" w:rsidTr="001C656D">
        <w:trPr>
          <w:trHeight w:val="507"/>
        </w:trPr>
        <w:tc>
          <w:tcPr>
            <w:tcW w:w="1975" w:type="dxa"/>
            <w:tcBorders>
              <w:top w:val="single" w:sz="8" w:space="0" w:color="auto"/>
              <w:left w:val="single" w:sz="8" w:space="0" w:color="auto"/>
              <w:bottom w:val="single" w:sz="8" w:space="0" w:color="000000"/>
              <w:right w:val="single" w:sz="8" w:space="0" w:color="000000"/>
            </w:tcBorders>
            <w:shd w:val="clear" w:color="000000" w:fill="D9D9D9"/>
            <w:vAlign w:val="center"/>
          </w:tcPr>
          <w:p w14:paraId="1769DC9B" w14:textId="77777777" w:rsidR="00DF4F9E" w:rsidRPr="000113B8" w:rsidRDefault="00DF4F9E" w:rsidP="00FD5FA6">
            <w:pPr>
              <w:jc w:val="center"/>
              <w:rPr>
                <w:rFonts w:ascii="Garamond" w:hAnsi="Garamond" w:cs="Calibri"/>
                <w:b/>
                <w:bCs/>
                <w:color w:val="000000" w:themeColor="text1"/>
                <w:lang w:eastAsia="es-CO"/>
              </w:rPr>
            </w:pPr>
            <w:r w:rsidRPr="000113B8">
              <w:rPr>
                <w:rFonts w:ascii="Garamond" w:hAnsi="Garamond" w:cs="Calibri"/>
                <w:b/>
                <w:bCs/>
                <w:color w:val="000000" w:themeColor="text1"/>
                <w:lang w:eastAsia="es-CO"/>
              </w:rPr>
              <w:t>PLAZO ESTIMADO DE EJECUCIÓN</w:t>
            </w:r>
          </w:p>
        </w:tc>
        <w:tc>
          <w:tcPr>
            <w:tcW w:w="7371" w:type="dxa"/>
            <w:tcBorders>
              <w:top w:val="nil"/>
              <w:left w:val="nil"/>
              <w:bottom w:val="single" w:sz="8" w:space="0" w:color="000000"/>
              <w:right w:val="single" w:sz="8" w:space="0" w:color="auto"/>
            </w:tcBorders>
            <w:vAlign w:val="center"/>
          </w:tcPr>
          <w:p w14:paraId="5340E1A7" w14:textId="68D33103" w:rsidR="00DF4F9E" w:rsidRPr="000113B8" w:rsidRDefault="00B343BF" w:rsidP="00FD5FA6">
            <w:pPr>
              <w:rPr>
                <w:rFonts w:ascii="Garamond" w:hAnsi="Garamond" w:cs="Calibri"/>
                <w:color w:val="000000" w:themeColor="text1"/>
                <w:lang w:eastAsia="es-CO"/>
              </w:rPr>
            </w:pPr>
            <w:r w:rsidRPr="000113B8">
              <w:rPr>
                <w:rFonts w:ascii="Garamond" w:hAnsi="Garamond" w:cs="Calibri"/>
                <w:color w:val="000000" w:themeColor="text1"/>
                <w:lang w:eastAsia="es-CO"/>
              </w:rPr>
              <w:t>392 (Días)</w:t>
            </w:r>
          </w:p>
        </w:tc>
      </w:tr>
      <w:tr w:rsidR="009A7F8F" w:rsidRPr="000113B8" w14:paraId="5D841048" w14:textId="77777777" w:rsidTr="001C656D">
        <w:trPr>
          <w:trHeight w:val="389"/>
        </w:trPr>
        <w:tc>
          <w:tcPr>
            <w:tcW w:w="1975" w:type="dxa"/>
            <w:tcBorders>
              <w:top w:val="single" w:sz="8" w:space="0" w:color="auto"/>
              <w:left w:val="single" w:sz="8" w:space="0" w:color="auto"/>
              <w:bottom w:val="single" w:sz="8" w:space="0" w:color="000000"/>
              <w:right w:val="single" w:sz="8" w:space="0" w:color="000000"/>
            </w:tcBorders>
            <w:shd w:val="clear" w:color="000000" w:fill="D9D9D9"/>
            <w:vAlign w:val="center"/>
          </w:tcPr>
          <w:p w14:paraId="39615F36" w14:textId="77777777" w:rsidR="00DF4F9E" w:rsidRPr="000113B8" w:rsidRDefault="00DF4F9E" w:rsidP="00FD5FA6">
            <w:pPr>
              <w:jc w:val="center"/>
              <w:rPr>
                <w:rFonts w:ascii="Garamond" w:hAnsi="Garamond" w:cs="Calibri"/>
                <w:b/>
                <w:bCs/>
                <w:color w:val="000000" w:themeColor="text1"/>
                <w:lang w:eastAsia="es-CO"/>
              </w:rPr>
            </w:pPr>
            <w:r w:rsidRPr="000113B8">
              <w:rPr>
                <w:rFonts w:ascii="Garamond" w:hAnsi="Garamond" w:cs="Calibri"/>
                <w:b/>
                <w:bCs/>
                <w:color w:val="000000" w:themeColor="text1"/>
                <w:lang w:eastAsia="es-CO"/>
              </w:rPr>
              <w:t>MODALIDAD DE SELECCIÓN</w:t>
            </w:r>
          </w:p>
        </w:tc>
        <w:tc>
          <w:tcPr>
            <w:tcW w:w="7371" w:type="dxa"/>
            <w:tcBorders>
              <w:top w:val="nil"/>
              <w:left w:val="nil"/>
              <w:bottom w:val="single" w:sz="8" w:space="0" w:color="000000"/>
              <w:right w:val="single" w:sz="8" w:space="0" w:color="auto"/>
            </w:tcBorders>
            <w:vAlign w:val="center"/>
          </w:tcPr>
          <w:p w14:paraId="678E69F7" w14:textId="0598F040" w:rsidR="00DF4F9E" w:rsidRPr="000113B8" w:rsidRDefault="007D408F" w:rsidP="00FD5FA6">
            <w:pPr>
              <w:rPr>
                <w:rFonts w:ascii="Garamond" w:hAnsi="Garamond" w:cs="Calibri"/>
                <w:color w:val="000000" w:themeColor="text1"/>
                <w:lang w:eastAsia="es-CO"/>
              </w:rPr>
            </w:pPr>
            <w:r w:rsidRPr="000113B8">
              <w:rPr>
                <w:rFonts w:ascii="Garamond" w:hAnsi="Garamond" w:cs="Calibri"/>
                <w:color w:val="000000" w:themeColor="text1"/>
                <w:lang w:eastAsia="es-CO"/>
              </w:rPr>
              <w:t>Mínima cuantía</w:t>
            </w:r>
          </w:p>
        </w:tc>
      </w:tr>
      <w:tr w:rsidR="009A7F8F" w:rsidRPr="000113B8" w14:paraId="1DA6AD8F" w14:textId="77777777" w:rsidTr="001C656D">
        <w:trPr>
          <w:trHeight w:val="315"/>
        </w:trPr>
        <w:tc>
          <w:tcPr>
            <w:tcW w:w="1975" w:type="dxa"/>
            <w:tcBorders>
              <w:top w:val="nil"/>
              <w:left w:val="single" w:sz="8" w:space="0" w:color="auto"/>
              <w:bottom w:val="single" w:sz="8" w:space="0" w:color="auto"/>
              <w:right w:val="single" w:sz="8" w:space="0" w:color="auto"/>
            </w:tcBorders>
            <w:shd w:val="clear" w:color="000000" w:fill="D9D9D9"/>
            <w:vAlign w:val="center"/>
            <w:hideMark/>
          </w:tcPr>
          <w:p w14:paraId="2E71750C" w14:textId="77777777" w:rsidR="00DF4F9E" w:rsidRPr="000113B8" w:rsidRDefault="00DF4F9E" w:rsidP="00FD5FA6">
            <w:pPr>
              <w:jc w:val="center"/>
              <w:rPr>
                <w:rFonts w:ascii="Garamond" w:hAnsi="Garamond" w:cs="Calibri"/>
                <w:b/>
                <w:bCs/>
                <w:color w:val="000000" w:themeColor="text1"/>
                <w:lang w:eastAsia="es-CO"/>
              </w:rPr>
            </w:pPr>
            <w:r w:rsidRPr="000113B8">
              <w:rPr>
                <w:rFonts w:ascii="Garamond" w:hAnsi="Garamond" w:cs="Calibri"/>
                <w:b/>
                <w:bCs/>
                <w:color w:val="000000" w:themeColor="text1"/>
                <w:lang w:eastAsia="es-CO"/>
              </w:rPr>
              <w:t>PRESUPUESTO</w:t>
            </w:r>
          </w:p>
        </w:tc>
        <w:tc>
          <w:tcPr>
            <w:tcW w:w="7371" w:type="dxa"/>
            <w:tcBorders>
              <w:top w:val="single" w:sz="8" w:space="0" w:color="000000"/>
              <w:left w:val="nil"/>
              <w:bottom w:val="single" w:sz="8" w:space="0" w:color="auto"/>
              <w:right w:val="single" w:sz="8" w:space="0" w:color="000000"/>
            </w:tcBorders>
            <w:vAlign w:val="center"/>
          </w:tcPr>
          <w:p w14:paraId="51A40D7F" w14:textId="5FFE6D54" w:rsidR="00DF4F9E" w:rsidRPr="000113B8" w:rsidRDefault="007D408F" w:rsidP="00FD5FA6">
            <w:pPr>
              <w:rPr>
                <w:rFonts w:ascii="Garamond" w:hAnsi="Garamond" w:cs="Calibri"/>
                <w:color w:val="000000" w:themeColor="text1"/>
                <w:lang w:eastAsia="es-CO"/>
              </w:rPr>
            </w:pPr>
            <w:r w:rsidRPr="000113B8">
              <w:rPr>
                <w:rFonts w:ascii="Garamond" w:hAnsi="Garamond" w:cs="Calibri"/>
                <w:color w:val="000000" w:themeColor="text1"/>
                <w:lang w:eastAsia="es-CO"/>
              </w:rPr>
              <w:t xml:space="preserve">$ </w:t>
            </w:r>
            <w:r w:rsidR="00B343BF" w:rsidRPr="000113B8">
              <w:rPr>
                <w:rFonts w:ascii="Garamond" w:hAnsi="Garamond" w:cs="Calibri"/>
                <w:color w:val="000000" w:themeColor="text1"/>
                <w:lang w:eastAsia="es-CO"/>
              </w:rPr>
              <w:t>14.841.647</w:t>
            </w:r>
          </w:p>
        </w:tc>
      </w:tr>
      <w:tr w:rsidR="009A7F8F" w:rsidRPr="000113B8" w14:paraId="397D44C5" w14:textId="77777777" w:rsidTr="001C656D">
        <w:trPr>
          <w:trHeight w:val="375"/>
        </w:trPr>
        <w:tc>
          <w:tcPr>
            <w:tcW w:w="1975" w:type="dxa"/>
            <w:tcBorders>
              <w:top w:val="nil"/>
              <w:left w:val="single" w:sz="8" w:space="0" w:color="auto"/>
              <w:bottom w:val="single" w:sz="8" w:space="0" w:color="auto"/>
              <w:right w:val="single" w:sz="8" w:space="0" w:color="auto"/>
            </w:tcBorders>
            <w:shd w:val="clear" w:color="000000" w:fill="D9D9D9"/>
            <w:vAlign w:val="center"/>
            <w:hideMark/>
          </w:tcPr>
          <w:p w14:paraId="1E5D1A6C" w14:textId="77777777" w:rsidR="00DF4F9E" w:rsidRPr="000113B8" w:rsidRDefault="00DF4F9E" w:rsidP="00FD5FA6">
            <w:pPr>
              <w:jc w:val="center"/>
              <w:rPr>
                <w:rFonts w:ascii="Garamond" w:hAnsi="Garamond" w:cs="Calibri"/>
                <w:b/>
                <w:bCs/>
                <w:color w:val="000000" w:themeColor="text1"/>
                <w:lang w:eastAsia="es-CO"/>
              </w:rPr>
            </w:pPr>
            <w:r w:rsidRPr="000113B8">
              <w:rPr>
                <w:rFonts w:ascii="Garamond" w:hAnsi="Garamond" w:cs="Calibri"/>
                <w:b/>
                <w:bCs/>
                <w:color w:val="000000" w:themeColor="text1"/>
                <w:lang w:eastAsia="es-CO"/>
              </w:rPr>
              <w:t>OFERENTES QUE PARITICIPARON</w:t>
            </w:r>
          </w:p>
        </w:tc>
        <w:tc>
          <w:tcPr>
            <w:tcW w:w="7371" w:type="dxa"/>
            <w:tcBorders>
              <w:top w:val="single" w:sz="8" w:space="0" w:color="auto"/>
              <w:left w:val="nil"/>
              <w:bottom w:val="single" w:sz="8" w:space="0" w:color="auto"/>
              <w:right w:val="single" w:sz="8" w:space="0" w:color="000000"/>
            </w:tcBorders>
            <w:vAlign w:val="center"/>
          </w:tcPr>
          <w:p w14:paraId="5F0FAD3A" w14:textId="77777777" w:rsidR="007D408F" w:rsidRPr="000113B8" w:rsidRDefault="007D408F" w:rsidP="00FD5FA6">
            <w:pPr>
              <w:rPr>
                <w:rFonts w:ascii="Garamond" w:hAnsi="Garamond" w:cs="Calibri"/>
                <w:color w:val="000000" w:themeColor="text1"/>
                <w:lang w:eastAsia="es-CO"/>
              </w:rPr>
            </w:pPr>
            <w:r w:rsidRPr="000113B8">
              <w:rPr>
                <w:rFonts w:ascii="Garamond" w:hAnsi="Garamond" w:cs="Calibri"/>
                <w:color w:val="000000" w:themeColor="text1"/>
                <w:lang w:eastAsia="es-CO"/>
              </w:rPr>
              <w:t>COMPAÑÍA DE SEGUROS DE VIDA AURORA S.A</w:t>
            </w:r>
          </w:p>
          <w:p w14:paraId="74CB620B" w14:textId="7ECFCB3C" w:rsidR="00B343BF" w:rsidRPr="000113B8" w:rsidRDefault="00B343BF" w:rsidP="00FD5FA6">
            <w:pPr>
              <w:rPr>
                <w:rFonts w:ascii="Garamond" w:hAnsi="Garamond" w:cs="Calibri"/>
                <w:color w:val="000000" w:themeColor="text1"/>
                <w:lang w:eastAsia="es-CO"/>
              </w:rPr>
            </w:pPr>
            <w:r w:rsidRPr="000113B8">
              <w:rPr>
                <w:rFonts w:ascii="Garamond" w:hAnsi="Garamond" w:cs="Calibri"/>
                <w:color w:val="000000" w:themeColor="text1"/>
                <w:lang w:eastAsia="es-CO"/>
              </w:rPr>
              <w:t>SEGUROS MUNDIAL S.A.</w:t>
            </w:r>
          </w:p>
        </w:tc>
      </w:tr>
      <w:tr w:rsidR="009A7F8F" w:rsidRPr="000113B8" w14:paraId="66FF70F7" w14:textId="77777777" w:rsidTr="001C656D">
        <w:trPr>
          <w:trHeight w:val="66"/>
        </w:trPr>
        <w:tc>
          <w:tcPr>
            <w:tcW w:w="1975" w:type="dxa"/>
            <w:tcBorders>
              <w:left w:val="single" w:sz="8" w:space="0" w:color="auto"/>
              <w:bottom w:val="single" w:sz="8" w:space="0" w:color="000000"/>
              <w:right w:val="single" w:sz="8" w:space="0" w:color="auto"/>
            </w:tcBorders>
            <w:shd w:val="clear" w:color="auto" w:fill="D9D9D9" w:themeFill="background1" w:themeFillShade="D9"/>
            <w:vAlign w:val="center"/>
          </w:tcPr>
          <w:p w14:paraId="15C40E50" w14:textId="08553934" w:rsidR="00DF4F9E" w:rsidRPr="000113B8" w:rsidRDefault="007D408F" w:rsidP="00FD5FA6">
            <w:pPr>
              <w:jc w:val="center"/>
              <w:rPr>
                <w:rFonts w:ascii="Garamond" w:hAnsi="Garamond" w:cs="Calibri"/>
                <w:b/>
                <w:bCs/>
                <w:color w:val="000000" w:themeColor="text1"/>
                <w:lang w:eastAsia="es-CO"/>
              </w:rPr>
            </w:pPr>
            <w:r w:rsidRPr="000113B8">
              <w:rPr>
                <w:rFonts w:ascii="Garamond" w:hAnsi="Garamond" w:cs="Calibri"/>
                <w:b/>
                <w:bCs/>
                <w:color w:val="000000" w:themeColor="text1"/>
                <w:lang w:eastAsia="es-CO"/>
              </w:rPr>
              <w:t>ADJUDICATARIO</w:t>
            </w:r>
          </w:p>
        </w:tc>
        <w:tc>
          <w:tcPr>
            <w:tcW w:w="7371" w:type="dxa"/>
            <w:tcBorders>
              <w:top w:val="single" w:sz="8" w:space="0" w:color="auto"/>
              <w:left w:val="nil"/>
              <w:bottom w:val="single" w:sz="8" w:space="0" w:color="auto"/>
              <w:right w:val="single" w:sz="8" w:space="0" w:color="000000"/>
            </w:tcBorders>
            <w:shd w:val="clear" w:color="000000" w:fill="FFFFFF"/>
            <w:vAlign w:val="center"/>
          </w:tcPr>
          <w:p w14:paraId="1D65D740" w14:textId="7A05C5E5" w:rsidR="00DF4F9E" w:rsidRPr="000113B8" w:rsidRDefault="007D408F" w:rsidP="00FD5FA6">
            <w:pPr>
              <w:rPr>
                <w:rFonts w:ascii="Garamond" w:hAnsi="Garamond" w:cs="Calibri"/>
                <w:color w:val="000000" w:themeColor="text1"/>
                <w:lang w:eastAsia="es-CO"/>
              </w:rPr>
            </w:pPr>
            <w:r w:rsidRPr="000113B8">
              <w:rPr>
                <w:rFonts w:ascii="Garamond" w:hAnsi="Garamond" w:cs="Calibri"/>
                <w:color w:val="000000" w:themeColor="text1"/>
                <w:lang w:eastAsia="es-CO"/>
              </w:rPr>
              <w:t>COMPAÑÍA DE SEGUROS DE VIDA AURORA S.A</w:t>
            </w:r>
          </w:p>
        </w:tc>
      </w:tr>
      <w:tr w:rsidR="009A7F8F" w:rsidRPr="000113B8" w14:paraId="5FA886B9" w14:textId="77777777" w:rsidTr="001C656D">
        <w:trPr>
          <w:trHeight w:val="66"/>
        </w:trPr>
        <w:tc>
          <w:tcPr>
            <w:tcW w:w="1975" w:type="dxa"/>
            <w:tcBorders>
              <w:top w:val="nil"/>
              <w:left w:val="single" w:sz="8" w:space="0" w:color="auto"/>
              <w:bottom w:val="single" w:sz="8" w:space="0" w:color="auto"/>
              <w:right w:val="single" w:sz="8" w:space="0" w:color="auto"/>
            </w:tcBorders>
            <w:shd w:val="clear" w:color="000000" w:fill="D9D9D9"/>
            <w:vAlign w:val="center"/>
          </w:tcPr>
          <w:p w14:paraId="709D8ED7" w14:textId="77777777" w:rsidR="00DF4F9E" w:rsidRPr="000113B8" w:rsidRDefault="00DF4F9E" w:rsidP="00FD5FA6">
            <w:pPr>
              <w:jc w:val="center"/>
              <w:rPr>
                <w:rFonts w:ascii="Garamond" w:hAnsi="Garamond" w:cs="Calibri"/>
                <w:b/>
                <w:bCs/>
                <w:color w:val="000000" w:themeColor="text1"/>
                <w:lang w:eastAsia="es-CO"/>
              </w:rPr>
            </w:pPr>
            <w:r w:rsidRPr="000113B8">
              <w:rPr>
                <w:rFonts w:ascii="Garamond" w:hAnsi="Garamond" w:cs="Calibri"/>
                <w:b/>
                <w:bCs/>
                <w:color w:val="000000" w:themeColor="text1"/>
                <w:lang w:eastAsia="es-CO"/>
              </w:rPr>
              <w:t xml:space="preserve">ESTADO </w:t>
            </w:r>
          </w:p>
        </w:tc>
        <w:tc>
          <w:tcPr>
            <w:tcW w:w="7371" w:type="dxa"/>
            <w:tcBorders>
              <w:top w:val="single" w:sz="8" w:space="0" w:color="auto"/>
              <w:left w:val="nil"/>
              <w:bottom w:val="single" w:sz="8" w:space="0" w:color="auto"/>
              <w:right w:val="single" w:sz="8" w:space="0" w:color="000000"/>
            </w:tcBorders>
            <w:shd w:val="clear" w:color="000000" w:fill="FFFFFF"/>
            <w:vAlign w:val="center"/>
          </w:tcPr>
          <w:p w14:paraId="677DC983" w14:textId="29C9AEB6" w:rsidR="00DF4F9E" w:rsidRPr="000113B8" w:rsidRDefault="007D408F" w:rsidP="00FD5FA6">
            <w:pPr>
              <w:rPr>
                <w:rFonts w:ascii="Garamond" w:hAnsi="Garamond" w:cs="Calibri"/>
                <w:color w:val="000000" w:themeColor="text1"/>
                <w:lang w:eastAsia="es-CO"/>
              </w:rPr>
            </w:pPr>
            <w:r w:rsidRPr="000113B8">
              <w:rPr>
                <w:rFonts w:ascii="Garamond" w:hAnsi="Garamond" w:cs="Calibri"/>
                <w:color w:val="000000" w:themeColor="text1"/>
                <w:lang w:eastAsia="es-CO"/>
              </w:rPr>
              <w:t>PROCESO ADJUDICADO Y CELEBRADO</w:t>
            </w:r>
          </w:p>
        </w:tc>
      </w:tr>
      <w:tr w:rsidR="009A7F8F" w:rsidRPr="000113B8" w14:paraId="7081FEC7" w14:textId="77777777" w:rsidTr="001C656D">
        <w:trPr>
          <w:trHeight w:val="66"/>
        </w:trPr>
        <w:tc>
          <w:tcPr>
            <w:tcW w:w="1975" w:type="dxa"/>
            <w:tcBorders>
              <w:top w:val="nil"/>
              <w:left w:val="single" w:sz="8" w:space="0" w:color="auto"/>
              <w:bottom w:val="single" w:sz="8" w:space="0" w:color="auto"/>
              <w:right w:val="single" w:sz="8" w:space="0" w:color="auto"/>
            </w:tcBorders>
            <w:shd w:val="clear" w:color="000000" w:fill="D9D9D9"/>
            <w:vAlign w:val="center"/>
            <w:hideMark/>
          </w:tcPr>
          <w:p w14:paraId="5F4542C5" w14:textId="77777777" w:rsidR="00DF4F9E" w:rsidRPr="000113B8" w:rsidRDefault="00DF4F9E" w:rsidP="00FD5FA6">
            <w:pPr>
              <w:jc w:val="center"/>
              <w:rPr>
                <w:rFonts w:ascii="Garamond" w:hAnsi="Garamond" w:cs="Calibri"/>
                <w:b/>
                <w:bCs/>
                <w:color w:val="000000" w:themeColor="text1"/>
                <w:lang w:eastAsia="es-CO"/>
              </w:rPr>
            </w:pPr>
            <w:r w:rsidRPr="000113B8">
              <w:rPr>
                <w:rFonts w:ascii="Garamond" w:hAnsi="Garamond" w:cs="Calibri"/>
                <w:b/>
                <w:bCs/>
                <w:color w:val="000000" w:themeColor="text1"/>
                <w:lang w:eastAsia="es-CO"/>
              </w:rPr>
              <w:t>CÓDIGOS UNSPSC</w:t>
            </w:r>
          </w:p>
        </w:tc>
        <w:tc>
          <w:tcPr>
            <w:tcW w:w="7371" w:type="dxa"/>
            <w:tcBorders>
              <w:top w:val="single" w:sz="8" w:space="0" w:color="auto"/>
              <w:left w:val="nil"/>
              <w:bottom w:val="single" w:sz="8" w:space="0" w:color="auto"/>
              <w:right w:val="single" w:sz="8" w:space="0" w:color="000000"/>
            </w:tcBorders>
            <w:shd w:val="clear" w:color="000000" w:fill="FFFFFF"/>
            <w:vAlign w:val="center"/>
          </w:tcPr>
          <w:p w14:paraId="04EEB195" w14:textId="77777777" w:rsidR="00B343BF" w:rsidRPr="000113B8" w:rsidRDefault="00B343BF" w:rsidP="00B343BF">
            <w:pPr>
              <w:rPr>
                <w:rFonts w:ascii="Garamond" w:hAnsi="Garamond" w:cs="Arial"/>
                <w:color w:val="000000" w:themeColor="text1"/>
                <w:lang w:val="es-CO"/>
              </w:rPr>
            </w:pPr>
            <w:r w:rsidRPr="000113B8">
              <w:rPr>
                <w:rStyle w:val="vortaltextbox"/>
                <w:rFonts w:ascii="Garamond" w:hAnsi="Garamond" w:cs="Arial"/>
                <w:color w:val="000000" w:themeColor="text1"/>
              </w:rPr>
              <w:t>84131600 - Seguros de vida, salud y accidentes</w:t>
            </w:r>
          </w:p>
          <w:p w14:paraId="7F1F580E" w14:textId="3A7AF146" w:rsidR="007D408F" w:rsidRPr="000113B8" w:rsidRDefault="007D408F" w:rsidP="00B343BF">
            <w:pPr>
              <w:rPr>
                <w:rFonts w:ascii="Garamond" w:hAnsi="Garamond" w:cs="Calibri"/>
                <w:color w:val="000000" w:themeColor="text1"/>
                <w:lang w:eastAsia="es-CO"/>
              </w:rPr>
            </w:pPr>
          </w:p>
        </w:tc>
      </w:tr>
      <w:tr w:rsidR="009A7F8F" w:rsidRPr="000113B8" w14:paraId="2F98DFD6" w14:textId="77777777" w:rsidTr="001C656D">
        <w:trPr>
          <w:trHeight w:val="315"/>
        </w:trPr>
        <w:tc>
          <w:tcPr>
            <w:tcW w:w="1975" w:type="dxa"/>
            <w:tcBorders>
              <w:top w:val="nil"/>
              <w:left w:val="single" w:sz="8" w:space="0" w:color="auto"/>
              <w:bottom w:val="single" w:sz="8" w:space="0" w:color="auto"/>
              <w:right w:val="single" w:sz="8" w:space="0" w:color="auto"/>
            </w:tcBorders>
            <w:shd w:val="clear" w:color="000000" w:fill="D9D9D9"/>
            <w:vAlign w:val="center"/>
            <w:hideMark/>
          </w:tcPr>
          <w:p w14:paraId="46181580" w14:textId="77777777" w:rsidR="00DF4F9E" w:rsidRPr="000113B8" w:rsidRDefault="00DF4F9E" w:rsidP="00FD5FA6">
            <w:pPr>
              <w:jc w:val="center"/>
              <w:rPr>
                <w:rFonts w:ascii="Garamond" w:hAnsi="Garamond" w:cs="Calibri"/>
                <w:b/>
                <w:bCs/>
                <w:color w:val="000000" w:themeColor="text1"/>
                <w:lang w:eastAsia="es-CO"/>
              </w:rPr>
            </w:pPr>
            <w:r w:rsidRPr="000113B8">
              <w:rPr>
                <w:rFonts w:ascii="Garamond" w:hAnsi="Garamond" w:cs="Calibri"/>
                <w:b/>
                <w:bCs/>
                <w:color w:val="000000" w:themeColor="text1"/>
                <w:lang w:eastAsia="es-CO"/>
              </w:rPr>
              <w:t>CRITERIOS DIFERENCIALES</w:t>
            </w:r>
          </w:p>
        </w:tc>
        <w:tc>
          <w:tcPr>
            <w:tcW w:w="7371" w:type="dxa"/>
            <w:tcBorders>
              <w:top w:val="single" w:sz="8" w:space="0" w:color="auto"/>
              <w:left w:val="nil"/>
              <w:bottom w:val="single" w:sz="8" w:space="0" w:color="auto"/>
              <w:right w:val="single" w:sz="8" w:space="0" w:color="000000"/>
            </w:tcBorders>
            <w:shd w:val="clear" w:color="000000" w:fill="FFFFFF"/>
            <w:vAlign w:val="center"/>
          </w:tcPr>
          <w:p w14:paraId="24FD970F" w14:textId="4923510D" w:rsidR="00DF4F9E" w:rsidRPr="000113B8" w:rsidRDefault="00B343BF" w:rsidP="00FD5FA6">
            <w:pPr>
              <w:rPr>
                <w:rFonts w:ascii="Garamond" w:hAnsi="Garamond" w:cs="Calibri"/>
                <w:i/>
                <w:iCs/>
                <w:color w:val="000000" w:themeColor="text1"/>
                <w:lang w:eastAsia="es-CO"/>
              </w:rPr>
            </w:pPr>
            <w:r w:rsidRPr="000113B8">
              <w:rPr>
                <w:rFonts w:ascii="Garamond" w:hAnsi="Garamond" w:cs="Calibri"/>
                <w:i/>
                <w:iCs/>
                <w:color w:val="000000" w:themeColor="text1"/>
                <w:lang w:eastAsia="es-CO"/>
              </w:rPr>
              <w:t>El Fondo de Desarrollo Rural de Sumapaz, aplicará criterios diferenciales respecto al número de programas de seguros requeridos para la acreditación de la experiencia general, al proponente que acredite el cumplimiento de alguna de las condiciones conforme a las definiciones de que trata el artículo 2.2.1.2.4.2.14, en concordancia con el 2.2.1.2.4.2.15 adicionados al Decreto 1082 de 2015 por el artículo 3 del Decreto 1860 de 2021, para lo cual el proponente deberá aportar la certificación requerida en los criterios habilitantes suscrita por el representante legal de la persona jurídica y el revisor fiscal. Los proponentes que cumplan con lo anteriormente descrito podrán certificar la experiencia de contratos ejecutados en seguros generales con hasta cinco (5) certificaciones de clientes públicos y/o privados, en cualquiera de los siguientes códigos UNSPSC: 84131600, cuya sumatoria en el valor de estos sea igual o superior al 50% del valor del presupuesto oficial o su equivalente expresado en SMMLV, los cuales serán verificados con la información contenida en el RUP</w:t>
            </w:r>
          </w:p>
        </w:tc>
      </w:tr>
      <w:tr w:rsidR="009A7F8F" w:rsidRPr="000113B8" w14:paraId="0FA049B2" w14:textId="77777777" w:rsidTr="001C656D">
        <w:trPr>
          <w:trHeight w:val="633"/>
        </w:trPr>
        <w:tc>
          <w:tcPr>
            <w:tcW w:w="1975" w:type="dxa"/>
            <w:tcBorders>
              <w:top w:val="nil"/>
              <w:left w:val="single" w:sz="8" w:space="0" w:color="auto"/>
              <w:bottom w:val="single" w:sz="8" w:space="0" w:color="auto"/>
              <w:right w:val="single" w:sz="8" w:space="0" w:color="auto"/>
            </w:tcBorders>
            <w:shd w:val="clear" w:color="000000" w:fill="D9D9D9"/>
            <w:vAlign w:val="center"/>
          </w:tcPr>
          <w:p w14:paraId="16CFCFDD" w14:textId="77777777" w:rsidR="00DF4F9E" w:rsidRPr="000113B8" w:rsidRDefault="00DF4F9E" w:rsidP="00FD5FA6">
            <w:pPr>
              <w:jc w:val="center"/>
              <w:rPr>
                <w:rFonts w:ascii="Garamond" w:hAnsi="Garamond" w:cs="Calibri"/>
                <w:b/>
                <w:bCs/>
                <w:color w:val="000000" w:themeColor="text1"/>
                <w:lang w:eastAsia="es-CO"/>
              </w:rPr>
            </w:pPr>
            <w:r w:rsidRPr="000113B8">
              <w:rPr>
                <w:rFonts w:ascii="Garamond" w:hAnsi="Garamond" w:cs="Calibri"/>
                <w:b/>
                <w:bCs/>
                <w:color w:val="000000" w:themeColor="text1"/>
                <w:lang w:eastAsia="es-CO"/>
              </w:rPr>
              <w:t>FOMA DE PAGO</w:t>
            </w:r>
          </w:p>
        </w:tc>
        <w:tc>
          <w:tcPr>
            <w:tcW w:w="7371" w:type="dxa"/>
            <w:tcBorders>
              <w:top w:val="single" w:sz="8" w:space="0" w:color="auto"/>
              <w:left w:val="nil"/>
              <w:bottom w:val="single" w:sz="8" w:space="0" w:color="auto"/>
              <w:right w:val="single" w:sz="8" w:space="0" w:color="000000"/>
            </w:tcBorders>
            <w:shd w:val="clear" w:color="000000" w:fill="FFFFFF"/>
            <w:vAlign w:val="center"/>
          </w:tcPr>
          <w:p w14:paraId="3D6610D3" w14:textId="52E15E9F" w:rsidR="00DF4F9E" w:rsidRPr="000113B8" w:rsidRDefault="00B343BF" w:rsidP="00FD5FA6">
            <w:pPr>
              <w:jc w:val="both"/>
              <w:rPr>
                <w:rFonts w:ascii="Garamond" w:hAnsi="Garamond" w:cs="Calibri"/>
                <w:i/>
                <w:iCs/>
                <w:color w:val="000000" w:themeColor="text1"/>
                <w:lang w:eastAsia="es-CO"/>
              </w:rPr>
            </w:pPr>
            <w:r w:rsidRPr="000113B8">
              <w:rPr>
                <w:rFonts w:ascii="Garamond" w:hAnsi="Garamond" w:cs="Calibri"/>
                <w:i/>
                <w:iCs/>
                <w:color w:val="000000" w:themeColor="text1"/>
                <w:lang w:eastAsia="es-CO"/>
              </w:rPr>
              <w:t xml:space="preserve">El FONDO DE DESARROLLO LOCAL DE SUMAPAZ, cancelará el valor de las pólizas que conforman el programa de seguros objeto del presente proceso de selección, dentro de un plazo de treinta (30) días, calendario, contados a partir del cumplimiento de los siguientes requisitos: a. Haber expedido todas las pólizas de conformidad con los requerimientos técnicos contenidos en los documentos que constituyen el presente Proceso de Selección. b. Presentar la certificación de cumplimiento a satisfacción expedida por el supervisor del contrato. c. Acreditar el correspondiente pago de los aportes parafiscales. d. Presentar la respectiva factura electrónica De acuerdo con el Decreto 358 del 5 de marzo de 2020 expedido por el Ministerio de Hacienda y Crédito Público por el cual </w:t>
            </w:r>
            <w:r w:rsidRPr="000113B8">
              <w:rPr>
                <w:rFonts w:ascii="Garamond" w:hAnsi="Garamond" w:cs="Calibri"/>
                <w:i/>
                <w:iCs/>
                <w:color w:val="000000" w:themeColor="text1"/>
                <w:lang w:eastAsia="es-CO"/>
              </w:rPr>
              <w:lastRenderedPageBreak/>
              <w:t>se reglamentan aspectos en materia tributaria y la Resolución No. 000042 del 5 de mayo de 2020 expedida por la Dirección de Impuestos y Aduanas Nacionales–DIAN. Los pagos se efectuarán mediante transferencia a la cuenta bancaria informada por la aseguradora que resulte seleccionada, previos los descuentos de ley.</w:t>
            </w:r>
          </w:p>
        </w:tc>
      </w:tr>
      <w:tr w:rsidR="007D408F" w:rsidRPr="000113B8" w14:paraId="3990194E" w14:textId="77777777" w:rsidTr="001C656D">
        <w:trPr>
          <w:trHeight w:val="207"/>
        </w:trPr>
        <w:tc>
          <w:tcPr>
            <w:tcW w:w="1975" w:type="dxa"/>
            <w:tcBorders>
              <w:top w:val="nil"/>
              <w:left w:val="single" w:sz="8" w:space="0" w:color="auto"/>
              <w:bottom w:val="single" w:sz="8" w:space="0" w:color="auto"/>
              <w:right w:val="single" w:sz="8" w:space="0" w:color="auto"/>
            </w:tcBorders>
            <w:shd w:val="clear" w:color="000000" w:fill="D9D9D9"/>
            <w:vAlign w:val="center"/>
          </w:tcPr>
          <w:p w14:paraId="1337D961" w14:textId="77777777" w:rsidR="007D408F" w:rsidRPr="000113B8" w:rsidRDefault="007D408F" w:rsidP="007D408F">
            <w:pPr>
              <w:jc w:val="center"/>
              <w:rPr>
                <w:rFonts w:ascii="Garamond" w:hAnsi="Garamond" w:cs="Calibri"/>
                <w:b/>
                <w:bCs/>
                <w:color w:val="000000" w:themeColor="text1"/>
                <w:lang w:eastAsia="es-CO"/>
              </w:rPr>
            </w:pPr>
            <w:r w:rsidRPr="000113B8">
              <w:rPr>
                <w:rFonts w:ascii="Garamond" w:hAnsi="Garamond" w:cs="Calibri"/>
                <w:b/>
                <w:bCs/>
                <w:color w:val="000000" w:themeColor="text1"/>
                <w:lang w:eastAsia="es-CO"/>
              </w:rPr>
              <w:lastRenderedPageBreak/>
              <w:t>ENLACE DEL SECOP</w:t>
            </w:r>
          </w:p>
        </w:tc>
        <w:tc>
          <w:tcPr>
            <w:tcW w:w="7371" w:type="dxa"/>
            <w:tcBorders>
              <w:top w:val="single" w:sz="8" w:space="0" w:color="auto"/>
              <w:left w:val="nil"/>
              <w:bottom w:val="single" w:sz="8" w:space="0" w:color="auto"/>
              <w:right w:val="single" w:sz="8" w:space="0" w:color="000000"/>
            </w:tcBorders>
            <w:shd w:val="clear" w:color="000000" w:fill="FFFFFF"/>
            <w:vAlign w:val="center"/>
          </w:tcPr>
          <w:p w14:paraId="609B1C0D" w14:textId="3252875C" w:rsidR="007D408F" w:rsidRPr="000113B8" w:rsidRDefault="006D1503" w:rsidP="007D408F">
            <w:pPr>
              <w:rPr>
                <w:rFonts w:ascii="Garamond" w:hAnsi="Garamond" w:cs="Calibri"/>
                <w:color w:val="000000" w:themeColor="text1"/>
                <w:u w:val="single"/>
                <w:lang w:eastAsia="es-CO"/>
              </w:rPr>
            </w:pPr>
            <w:hyperlink r:id="rId53" w:history="1">
              <w:r w:rsidRPr="000113B8">
                <w:rPr>
                  <w:rStyle w:val="Hipervnculo"/>
                  <w:rFonts w:ascii="Garamond" w:hAnsi="Garamond" w:cs="Calibri"/>
                  <w:color w:val="000000" w:themeColor="text1"/>
                  <w:lang w:eastAsia="es-CO"/>
                </w:rPr>
                <w:t>https://community.secop.gov.co/Public/Tendering/OpportunityDetail/Index?noticeUID=CO1.NTC.7900500&amp;isFromPublicArea=True&amp;isModal=Fals</w:t>
              </w:r>
            </w:hyperlink>
          </w:p>
        </w:tc>
      </w:tr>
    </w:tbl>
    <w:p w14:paraId="078DA8C7" w14:textId="77777777" w:rsidR="006D1503" w:rsidRPr="000113B8" w:rsidRDefault="006D1503" w:rsidP="00F302E2">
      <w:pPr>
        <w:pStyle w:val="Default"/>
        <w:jc w:val="both"/>
        <w:rPr>
          <w:rFonts w:ascii="Garamond" w:hAnsi="Garamond"/>
          <w:color w:val="000000" w:themeColor="text1"/>
          <w:sz w:val="22"/>
          <w:szCs w:val="22"/>
          <w:lang w:val="es-ES"/>
        </w:rPr>
      </w:pPr>
    </w:p>
    <w:p w14:paraId="588E5295" w14:textId="36CA3CDD" w:rsidR="00F302E2" w:rsidRPr="000113B8" w:rsidRDefault="00F302E2" w:rsidP="00F302E2">
      <w:pPr>
        <w:pStyle w:val="Default"/>
        <w:jc w:val="both"/>
        <w:rPr>
          <w:rFonts w:ascii="Garamond" w:hAnsi="Garamond"/>
          <w:color w:val="000000" w:themeColor="text1"/>
          <w:sz w:val="22"/>
          <w:szCs w:val="22"/>
          <w:lang w:val="es-ES"/>
        </w:rPr>
      </w:pPr>
      <w:r w:rsidRPr="000113B8">
        <w:rPr>
          <w:rFonts w:ascii="Garamond" w:hAnsi="Garamond"/>
          <w:color w:val="000000" w:themeColor="text1"/>
          <w:sz w:val="22"/>
          <w:szCs w:val="22"/>
          <w:lang w:val="es-ES"/>
        </w:rPr>
        <w:t>De acuerdo con la información revisada, se evidencia que la Alcaldía Local de Sumapaz ha adelantado y adjudicado procesos contractuales relacionados con la adquisición de pólizas de seguros, lo cual permite identificar antecedentes relevantes en la gestión contractual de la entidad frente a este tipo de servicios. Conforme a la relación de contratos previamente analizada, se puede afirmar que, tratándose de procesos bajo la modalidad de mínima cuantía, se ha promovido la participación de oferentes al establecer condiciones proporcionales y acordes con la naturaleza del contrato, evitando requisitos excesivos en materia de experiencia, capacidad jurídica y financiera, lo que contribuye a garantizar la pluralidad, la selección objetiva y la eficiencia en la contratación.</w:t>
      </w:r>
    </w:p>
    <w:p w14:paraId="0F378FEC" w14:textId="77777777" w:rsidR="00F302E2" w:rsidRPr="000113B8" w:rsidRDefault="00F302E2" w:rsidP="00F302E2">
      <w:pPr>
        <w:pStyle w:val="Default"/>
        <w:jc w:val="both"/>
        <w:rPr>
          <w:rFonts w:ascii="Garamond" w:hAnsi="Garamond"/>
          <w:color w:val="000000" w:themeColor="text1"/>
          <w:sz w:val="22"/>
          <w:szCs w:val="22"/>
          <w:lang w:val="es-ES"/>
        </w:rPr>
      </w:pPr>
    </w:p>
    <w:p w14:paraId="6702F831" w14:textId="77777777" w:rsidR="00F302E2" w:rsidRPr="000113B8" w:rsidRDefault="00F302E2" w:rsidP="00F302E2">
      <w:pPr>
        <w:pStyle w:val="Default"/>
        <w:jc w:val="both"/>
        <w:rPr>
          <w:rFonts w:ascii="Garamond" w:hAnsi="Garamond"/>
          <w:color w:val="000000" w:themeColor="text1"/>
          <w:sz w:val="22"/>
          <w:szCs w:val="22"/>
          <w:lang w:val="es-ES"/>
        </w:rPr>
      </w:pPr>
      <w:r w:rsidRPr="000113B8">
        <w:rPr>
          <w:rFonts w:ascii="Garamond" w:hAnsi="Garamond"/>
          <w:color w:val="000000" w:themeColor="text1"/>
          <w:sz w:val="22"/>
          <w:szCs w:val="22"/>
          <w:lang w:val="es-ES"/>
        </w:rPr>
        <w:t>En consecuencia, el análisis comparativo de procesos similares constituye un elemento clave para la estructuración técnica y financiera del contrato, permitiendo establecer parámetros de referencia en cuanto a precios, alcance de las actividades, riesgos asociados y condiciones de ejecución, lo cual favorece la toma de decisiones informadas durante la etapa de planeación contractual.</w:t>
      </w:r>
    </w:p>
    <w:p w14:paraId="6A573E99" w14:textId="77777777" w:rsidR="006D1503" w:rsidRPr="000113B8" w:rsidRDefault="006D1503" w:rsidP="00F302E2">
      <w:pPr>
        <w:pStyle w:val="Default"/>
        <w:jc w:val="both"/>
        <w:rPr>
          <w:rFonts w:ascii="Garamond" w:hAnsi="Garamond"/>
          <w:color w:val="000000" w:themeColor="text1"/>
          <w:sz w:val="22"/>
          <w:szCs w:val="22"/>
          <w:lang w:val="es-ES"/>
        </w:rPr>
      </w:pPr>
    </w:p>
    <w:p w14:paraId="00B21C24" w14:textId="3097E059" w:rsidR="00A54369" w:rsidRPr="000113B8" w:rsidRDefault="00A54369" w:rsidP="00C54B99">
      <w:pPr>
        <w:pStyle w:val="Prrafodelista"/>
        <w:numPr>
          <w:ilvl w:val="2"/>
          <w:numId w:val="24"/>
        </w:numPr>
        <w:rPr>
          <w:rFonts w:ascii="Garamond" w:hAnsi="Garamond"/>
          <w:b/>
          <w:color w:val="000000" w:themeColor="text1"/>
        </w:rPr>
      </w:pPr>
      <w:r w:rsidRPr="000113B8">
        <w:rPr>
          <w:rFonts w:ascii="Garamond" w:hAnsi="Garamond"/>
          <w:b/>
          <w:bCs/>
          <w:color w:val="000000" w:themeColor="text1"/>
        </w:rPr>
        <w:t xml:space="preserve">HISTÓRICO DE CONTRATACIÓN, </w:t>
      </w:r>
      <w:r w:rsidRPr="000113B8">
        <w:rPr>
          <w:rFonts w:ascii="Garamond" w:hAnsi="Garamond"/>
          <w:b/>
          <w:color w:val="000000" w:themeColor="text1"/>
        </w:rPr>
        <w:t>OTRAS ENTIDADES</w:t>
      </w:r>
    </w:p>
    <w:p w14:paraId="4BEE2EC0" w14:textId="77777777" w:rsidR="00A54369" w:rsidRPr="000113B8" w:rsidRDefault="00A54369" w:rsidP="00A54369">
      <w:pPr>
        <w:pStyle w:val="Default"/>
        <w:jc w:val="both"/>
        <w:rPr>
          <w:rFonts w:ascii="Garamond" w:hAnsi="Garamond"/>
          <w:b/>
          <w:color w:val="000000" w:themeColor="text1"/>
          <w:sz w:val="22"/>
          <w:szCs w:val="22"/>
        </w:rPr>
      </w:pPr>
    </w:p>
    <w:p w14:paraId="0B8452E5" w14:textId="77777777" w:rsidR="00A54369" w:rsidRPr="000113B8" w:rsidRDefault="00A54369" w:rsidP="00A54369">
      <w:pPr>
        <w:pStyle w:val="Default"/>
        <w:jc w:val="both"/>
        <w:rPr>
          <w:rFonts w:ascii="Garamond" w:hAnsi="Garamond"/>
          <w:color w:val="000000" w:themeColor="text1"/>
          <w:sz w:val="22"/>
          <w:szCs w:val="22"/>
        </w:rPr>
      </w:pPr>
      <w:r w:rsidRPr="000113B8">
        <w:rPr>
          <w:rFonts w:ascii="Garamond" w:hAnsi="Garamond"/>
          <w:color w:val="000000" w:themeColor="text1"/>
          <w:sz w:val="22"/>
          <w:szCs w:val="22"/>
        </w:rPr>
        <w:t>Respecto a los contratos ejecutados por otras entidades se encuentra:</w:t>
      </w:r>
    </w:p>
    <w:p w14:paraId="6E6CE3A5" w14:textId="77777777" w:rsidR="00A54369" w:rsidRPr="000113B8" w:rsidRDefault="00A54369" w:rsidP="00A54369">
      <w:pPr>
        <w:pStyle w:val="Default"/>
        <w:jc w:val="both"/>
        <w:rPr>
          <w:rFonts w:ascii="Garamond" w:hAnsi="Garamond"/>
          <w:b/>
          <w:color w:val="000000" w:themeColor="text1"/>
          <w:sz w:val="22"/>
          <w:szCs w:val="22"/>
        </w:rPr>
      </w:pPr>
    </w:p>
    <w:tbl>
      <w:tblPr>
        <w:tblW w:w="0" w:type="auto"/>
        <w:tblLayout w:type="fixed"/>
        <w:tblCellMar>
          <w:left w:w="70" w:type="dxa"/>
          <w:right w:w="70" w:type="dxa"/>
        </w:tblCellMar>
        <w:tblLook w:val="04A0" w:firstRow="1" w:lastRow="0" w:firstColumn="1" w:lastColumn="0" w:noHBand="0" w:noVBand="1"/>
      </w:tblPr>
      <w:tblGrid>
        <w:gridCol w:w="1975"/>
        <w:gridCol w:w="6804"/>
      </w:tblGrid>
      <w:tr w:rsidR="009A7F8F" w:rsidRPr="000113B8" w14:paraId="2ED79633" w14:textId="77777777" w:rsidTr="00FD5FA6">
        <w:trPr>
          <w:trHeight w:val="375"/>
        </w:trPr>
        <w:tc>
          <w:tcPr>
            <w:tcW w:w="1975" w:type="dxa"/>
            <w:tcBorders>
              <w:top w:val="single" w:sz="8" w:space="0" w:color="auto"/>
              <w:left w:val="single" w:sz="8" w:space="0" w:color="auto"/>
              <w:bottom w:val="single" w:sz="8" w:space="0" w:color="auto"/>
              <w:right w:val="single" w:sz="8" w:space="0" w:color="000000"/>
            </w:tcBorders>
            <w:shd w:val="clear" w:color="000000" w:fill="D9D9D9"/>
            <w:vAlign w:val="center"/>
            <w:hideMark/>
          </w:tcPr>
          <w:p w14:paraId="08BC7773" w14:textId="77777777" w:rsidR="00DF4F9E" w:rsidRPr="000113B8" w:rsidRDefault="00DF4F9E" w:rsidP="00FD5FA6">
            <w:pPr>
              <w:jc w:val="center"/>
              <w:rPr>
                <w:rFonts w:ascii="Garamond" w:hAnsi="Garamond" w:cs="Calibri"/>
                <w:b/>
                <w:bCs/>
                <w:color w:val="000000" w:themeColor="text1"/>
                <w:lang w:eastAsia="es-CO"/>
              </w:rPr>
            </w:pPr>
            <w:r w:rsidRPr="000113B8">
              <w:rPr>
                <w:rFonts w:ascii="Garamond" w:hAnsi="Garamond" w:cs="Calibri"/>
                <w:b/>
                <w:bCs/>
                <w:color w:val="000000" w:themeColor="text1"/>
                <w:lang w:eastAsia="es-CO"/>
              </w:rPr>
              <w:t>ENTIDAD</w:t>
            </w:r>
          </w:p>
        </w:tc>
        <w:tc>
          <w:tcPr>
            <w:tcW w:w="6804" w:type="dxa"/>
            <w:tcBorders>
              <w:top w:val="single" w:sz="8" w:space="0" w:color="auto"/>
              <w:left w:val="nil"/>
              <w:bottom w:val="single" w:sz="8" w:space="0" w:color="auto"/>
              <w:right w:val="single" w:sz="8" w:space="0" w:color="auto"/>
            </w:tcBorders>
            <w:vAlign w:val="center"/>
          </w:tcPr>
          <w:p w14:paraId="413F2768" w14:textId="7EF59863" w:rsidR="00DF4F9E" w:rsidRPr="000113B8" w:rsidRDefault="00AD6460" w:rsidP="00FD5FA6">
            <w:pPr>
              <w:rPr>
                <w:rFonts w:ascii="Garamond" w:hAnsi="Garamond" w:cs="Calibri"/>
                <w:b/>
                <w:bCs/>
                <w:color w:val="000000" w:themeColor="text1"/>
                <w:lang w:eastAsia="es-CO"/>
              </w:rPr>
            </w:pPr>
            <w:r w:rsidRPr="000113B8">
              <w:rPr>
                <w:rFonts w:ascii="Garamond" w:hAnsi="Garamond" w:cs="Calibri"/>
                <w:b/>
                <w:bCs/>
                <w:color w:val="000000" w:themeColor="text1"/>
                <w:lang w:eastAsia="es-CO"/>
              </w:rPr>
              <w:t>ALCADÍA MUNICIPAL DE MARÍA LA BAJA DEPARTAMENTO DE BOLIVAR</w:t>
            </w:r>
          </w:p>
        </w:tc>
      </w:tr>
      <w:tr w:rsidR="009A7F8F" w:rsidRPr="000113B8" w14:paraId="53A5FCBE" w14:textId="77777777" w:rsidTr="00FD5FA6">
        <w:trPr>
          <w:trHeight w:val="315"/>
        </w:trPr>
        <w:tc>
          <w:tcPr>
            <w:tcW w:w="1975" w:type="dxa"/>
            <w:tcBorders>
              <w:top w:val="single" w:sz="8" w:space="0" w:color="auto"/>
              <w:left w:val="single" w:sz="8" w:space="0" w:color="auto"/>
              <w:bottom w:val="single" w:sz="8" w:space="0" w:color="auto"/>
              <w:right w:val="single" w:sz="8" w:space="0" w:color="000000"/>
            </w:tcBorders>
            <w:shd w:val="clear" w:color="000000" w:fill="D9D9D9"/>
            <w:vAlign w:val="center"/>
            <w:hideMark/>
          </w:tcPr>
          <w:p w14:paraId="1FA9FF11" w14:textId="77777777" w:rsidR="00DF4F9E" w:rsidRPr="000113B8" w:rsidRDefault="00DF4F9E" w:rsidP="00FD5FA6">
            <w:pPr>
              <w:jc w:val="center"/>
              <w:rPr>
                <w:rFonts w:ascii="Garamond" w:hAnsi="Garamond" w:cs="Calibri"/>
                <w:b/>
                <w:bCs/>
                <w:color w:val="000000" w:themeColor="text1"/>
                <w:lang w:eastAsia="es-CO"/>
              </w:rPr>
            </w:pPr>
            <w:r w:rsidRPr="000113B8">
              <w:rPr>
                <w:rFonts w:ascii="Garamond" w:hAnsi="Garamond" w:cs="Calibri"/>
                <w:b/>
                <w:bCs/>
                <w:color w:val="000000" w:themeColor="text1"/>
                <w:lang w:eastAsia="es-CO"/>
              </w:rPr>
              <w:t>REFERENCIA DEL PROCESO</w:t>
            </w:r>
          </w:p>
        </w:tc>
        <w:tc>
          <w:tcPr>
            <w:tcW w:w="6804" w:type="dxa"/>
            <w:tcBorders>
              <w:top w:val="nil"/>
              <w:left w:val="nil"/>
              <w:bottom w:val="single" w:sz="8" w:space="0" w:color="auto"/>
              <w:right w:val="single" w:sz="8" w:space="0" w:color="auto"/>
            </w:tcBorders>
            <w:noWrap/>
            <w:vAlign w:val="center"/>
          </w:tcPr>
          <w:p w14:paraId="57AAEF2A" w14:textId="56D7E172" w:rsidR="00DF4F9E" w:rsidRPr="000113B8" w:rsidRDefault="006E0CEA" w:rsidP="00FD5FA6">
            <w:pPr>
              <w:rPr>
                <w:rFonts w:ascii="Garamond" w:hAnsi="Garamond" w:cs="Arial"/>
                <w:color w:val="000000" w:themeColor="text1"/>
                <w:lang w:eastAsia="es-CO"/>
              </w:rPr>
            </w:pPr>
            <w:r w:rsidRPr="000113B8">
              <w:rPr>
                <w:rFonts w:ascii="Garamond" w:hAnsi="Garamond" w:cs="Arial"/>
                <w:color w:val="000000" w:themeColor="text1"/>
                <w:lang w:eastAsia="es-CO"/>
              </w:rPr>
              <w:t>MC-MB-005-2025</w:t>
            </w:r>
          </w:p>
        </w:tc>
      </w:tr>
      <w:tr w:rsidR="009A7F8F" w:rsidRPr="000113B8" w14:paraId="175508AA" w14:textId="77777777" w:rsidTr="00FD5FA6">
        <w:trPr>
          <w:trHeight w:val="387"/>
        </w:trPr>
        <w:tc>
          <w:tcPr>
            <w:tcW w:w="1975" w:type="dxa"/>
            <w:tcBorders>
              <w:top w:val="single" w:sz="8" w:space="0" w:color="auto"/>
              <w:left w:val="single" w:sz="8" w:space="0" w:color="auto"/>
              <w:bottom w:val="single" w:sz="8" w:space="0" w:color="000000"/>
              <w:right w:val="single" w:sz="8" w:space="0" w:color="000000"/>
            </w:tcBorders>
            <w:shd w:val="clear" w:color="000000" w:fill="D9D9D9"/>
            <w:vAlign w:val="center"/>
            <w:hideMark/>
          </w:tcPr>
          <w:p w14:paraId="21DDE0BD" w14:textId="77777777" w:rsidR="00DF4F9E" w:rsidRPr="000113B8" w:rsidRDefault="00DF4F9E" w:rsidP="00FD5FA6">
            <w:pPr>
              <w:jc w:val="center"/>
              <w:rPr>
                <w:rFonts w:ascii="Garamond" w:hAnsi="Garamond" w:cs="Calibri"/>
                <w:b/>
                <w:bCs/>
                <w:color w:val="000000" w:themeColor="text1"/>
                <w:lang w:eastAsia="es-CO"/>
              </w:rPr>
            </w:pPr>
            <w:r w:rsidRPr="000113B8">
              <w:rPr>
                <w:rFonts w:ascii="Garamond" w:hAnsi="Garamond" w:cs="Calibri"/>
                <w:b/>
                <w:bCs/>
                <w:color w:val="000000" w:themeColor="text1"/>
                <w:lang w:eastAsia="es-CO"/>
              </w:rPr>
              <w:t>OBJETO</w:t>
            </w:r>
          </w:p>
        </w:tc>
        <w:tc>
          <w:tcPr>
            <w:tcW w:w="6804" w:type="dxa"/>
            <w:tcBorders>
              <w:top w:val="nil"/>
              <w:left w:val="nil"/>
              <w:bottom w:val="single" w:sz="8" w:space="0" w:color="000000"/>
              <w:right w:val="single" w:sz="8" w:space="0" w:color="auto"/>
            </w:tcBorders>
            <w:vAlign w:val="center"/>
          </w:tcPr>
          <w:p w14:paraId="580372B9" w14:textId="176A662E" w:rsidR="00DF4F9E" w:rsidRPr="000113B8" w:rsidRDefault="006E0CEA" w:rsidP="00FD5FA6">
            <w:pPr>
              <w:rPr>
                <w:rFonts w:ascii="Garamond" w:hAnsi="Garamond" w:cs="Calibri"/>
                <w:color w:val="000000" w:themeColor="text1"/>
                <w:lang w:eastAsia="es-CO"/>
              </w:rPr>
            </w:pPr>
            <w:r w:rsidRPr="000113B8">
              <w:rPr>
                <w:rFonts w:ascii="Garamond" w:hAnsi="Garamond" w:cs="Calibri"/>
                <w:color w:val="000000" w:themeColor="text1"/>
                <w:lang w:eastAsia="es-CO"/>
              </w:rPr>
              <w:t>CONTRATAR LA ADQUISICIÓN DE PÓLIZAS DE VIDA PARA ELALCALDE, PERSONERO Y CONCEJALES DEL MUNICIPIO DE MARÍA LA BAJA, VIGENCIA 2025.</w:t>
            </w:r>
          </w:p>
        </w:tc>
      </w:tr>
      <w:tr w:rsidR="009A7F8F" w:rsidRPr="000113B8" w14:paraId="50A01C43" w14:textId="77777777" w:rsidTr="00FD5FA6">
        <w:trPr>
          <w:trHeight w:val="507"/>
        </w:trPr>
        <w:tc>
          <w:tcPr>
            <w:tcW w:w="1975" w:type="dxa"/>
            <w:tcBorders>
              <w:top w:val="single" w:sz="8" w:space="0" w:color="auto"/>
              <w:left w:val="single" w:sz="8" w:space="0" w:color="auto"/>
              <w:bottom w:val="single" w:sz="8" w:space="0" w:color="000000"/>
              <w:right w:val="single" w:sz="8" w:space="0" w:color="000000"/>
            </w:tcBorders>
            <w:shd w:val="clear" w:color="000000" w:fill="D9D9D9"/>
            <w:vAlign w:val="center"/>
          </w:tcPr>
          <w:p w14:paraId="343A12FD" w14:textId="77777777" w:rsidR="00DF4F9E" w:rsidRPr="000113B8" w:rsidRDefault="00DF4F9E" w:rsidP="00FD5FA6">
            <w:pPr>
              <w:jc w:val="center"/>
              <w:rPr>
                <w:rFonts w:ascii="Garamond" w:hAnsi="Garamond" w:cs="Calibri"/>
                <w:b/>
                <w:bCs/>
                <w:color w:val="000000" w:themeColor="text1"/>
                <w:lang w:eastAsia="es-CO"/>
              </w:rPr>
            </w:pPr>
            <w:r w:rsidRPr="000113B8">
              <w:rPr>
                <w:rFonts w:ascii="Garamond" w:hAnsi="Garamond" w:cs="Calibri"/>
                <w:b/>
                <w:bCs/>
                <w:color w:val="000000" w:themeColor="text1"/>
                <w:lang w:eastAsia="es-CO"/>
              </w:rPr>
              <w:t>PLAZO ESTIMADO DE EJECUCIÓN</w:t>
            </w:r>
          </w:p>
        </w:tc>
        <w:tc>
          <w:tcPr>
            <w:tcW w:w="6804" w:type="dxa"/>
            <w:tcBorders>
              <w:top w:val="nil"/>
              <w:left w:val="nil"/>
              <w:bottom w:val="single" w:sz="8" w:space="0" w:color="000000"/>
              <w:right w:val="single" w:sz="8" w:space="0" w:color="auto"/>
            </w:tcBorders>
            <w:vAlign w:val="center"/>
          </w:tcPr>
          <w:p w14:paraId="32F7345A" w14:textId="7BF9BE39" w:rsidR="00DF4F9E" w:rsidRPr="000113B8" w:rsidRDefault="006E0CEA" w:rsidP="00FD5FA6">
            <w:pPr>
              <w:rPr>
                <w:rFonts w:ascii="Garamond" w:hAnsi="Garamond" w:cs="Calibri"/>
                <w:color w:val="000000" w:themeColor="text1"/>
                <w:lang w:eastAsia="es-CO"/>
              </w:rPr>
            </w:pPr>
            <w:r w:rsidRPr="000113B8">
              <w:rPr>
                <w:rFonts w:ascii="Garamond" w:hAnsi="Garamond" w:cs="Calibri"/>
                <w:color w:val="000000" w:themeColor="text1"/>
                <w:lang w:eastAsia="es-CO"/>
              </w:rPr>
              <w:t>5 (Días)</w:t>
            </w:r>
          </w:p>
        </w:tc>
      </w:tr>
      <w:tr w:rsidR="009A7F8F" w:rsidRPr="000113B8" w14:paraId="0D85D65D" w14:textId="77777777" w:rsidTr="00FD5FA6">
        <w:trPr>
          <w:trHeight w:val="389"/>
        </w:trPr>
        <w:tc>
          <w:tcPr>
            <w:tcW w:w="1975" w:type="dxa"/>
            <w:tcBorders>
              <w:top w:val="single" w:sz="8" w:space="0" w:color="auto"/>
              <w:left w:val="single" w:sz="8" w:space="0" w:color="auto"/>
              <w:bottom w:val="single" w:sz="8" w:space="0" w:color="000000"/>
              <w:right w:val="single" w:sz="8" w:space="0" w:color="000000"/>
            </w:tcBorders>
            <w:shd w:val="clear" w:color="000000" w:fill="D9D9D9"/>
            <w:vAlign w:val="center"/>
          </w:tcPr>
          <w:p w14:paraId="29691FB1" w14:textId="77777777" w:rsidR="00DF4F9E" w:rsidRPr="000113B8" w:rsidRDefault="00DF4F9E" w:rsidP="00FD5FA6">
            <w:pPr>
              <w:jc w:val="center"/>
              <w:rPr>
                <w:rFonts w:ascii="Garamond" w:hAnsi="Garamond" w:cs="Calibri"/>
                <w:b/>
                <w:bCs/>
                <w:color w:val="000000" w:themeColor="text1"/>
                <w:lang w:eastAsia="es-CO"/>
              </w:rPr>
            </w:pPr>
            <w:r w:rsidRPr="000113B8">
              <w:rPr>
                <w:rFonts w:ascii="Garamond" w:hAnsi="Garamond" w:cs="Calibri"/>
                <w:b/>
                <w:bCs/>
                <w:color w:val="000000" w:themeColor="text1"/>
                <w:lang w:eastAsia="es-CO"/>
              </w:rPr>
              <w:t>MODALIDAD DE SELECCIÓN</w:t>
            </w:r>
          </w:p>
        </w:tc>
        <w:tc>
          <w:tcPr>
            <w:tcW w:w="6804" w:type="dxa"/>
            <w:tcBorders>
              <w:top w:val="nil"/>
              <w:left w:val="nil"/>
              <w:bottom w:val="single" w:sz="8" w:space="0" w:color="000000"/>
              <w:right w:val="single" w:sz="8" w:space="0" w:color="auto"/>
            </w:tcBorders>
            <w:vAlign w:val="center"/>
          </w:tcPr>
          <w:p w14:paraId="40F18B9D" w14:textId="0ABC89C3" w:rsidR="00DF4F9E" w:rsidRPr="000113B8" w:rsidRDefault="006E0CEA" w:rsidP="00FD5FA6">
            <w:pPr>
              <w:rPr>
                <w:rFonts w:ascii="Garamond" w:hAnsi="Garamond" w:cs="Calibri"/>
                <w:color w:val="000000" w:themeColor="text1"/>
                <w:lang w:eastAsia="es-CO"/>
              </w:rPr>
            </w:pPr>
            <w:r w:rsidRPr="000113B8">
              <w:rPr>
                <w:rFonts w:ascii="Garamond" w:hAnsi="Garamond" w:cs="Calibri"/>
                <w:color w:val="000000" w:themeColor="text1"/>
                <w:lang w:eastAsia="es-CO"/>
              </w:rPr>
              <w:t>MÍNIMA CUANTÍA</w:t>
            </w:r>
          </w:p>
        </w:tc>
      </w:tr>
      <w:tr w:rsidR="009A7F8F" w:rsidRPr="000113B8" w14:paraId="1375D13A" w14:textId="77777777" w:rsidTr="00FD5FA6">
        <w:trPr>
          <w:trHeight w:val="315"/>
        </w:trPr>
        <w:tc>
          <w:tcPr>
            <w:tcW w:w="1975" w:type="dxa"/>
            <w:tcBorders>
              <w:top w:val="nil"/>
              <w:left w:val="single" w:sz="8" w:space="0" w:color="auto"/>
              <w:bottom w:val="single" w:sz="8" w:space="0" w:color="auto"/>
              <w:right w:val="single" w:sz="8" w:space="0" w:color="auto"/>
            </w:tcBorders>
            <w:shd w:val="clear" w:color="000000" w:fill="D9D9D9"/>
            <w:vAlign w:val="center"/>
            <w:hideMark/>
          </w:tcPr>
          <w:p w14:paraId="627D5678" w14:textId="77777777" w:rsidR="00DF4F9E" w:rsidRPr="000113B8" w:rsidRDefault="00DF4F9E" w:rsidP="00FD5FA6">
            <w:pPr>
              <w:jc w:val="center"/>
              <w:rPr>
                <w:rFonts w:ascii="Garamond" w:hAnsi="Garamond" w:cs="Calibri"/>
                <w:b/>
                <w:bCs/>
                <w:color w:val="000000" w:themeColor="text1"/>
                <w:lang w:eastAsia="es-CO"/>
              </w:rPr>
            </w:pPr>
            <w:r w:rsidRPr="000113B8">
              <w:rPr>
                <w:rFonts w:ascii="Garamond" w:hAnsi="Garamond" w:cs="Calibri"/>
                <w:b/>
                <w:bCs/>
                <w:color w:val="000000" w:themeColor="text1"/>
                <w:lang w:eastAsia="es-CO"/>
              </w:rPr>
              <w:t>PRESUPUESTO</w:t>
            </w:r>
          </w:p>
        </w:tc>
        <w:tc>
          <w:tcPr>
            <w:tcW w:w="6804" w:type="dxa"/>
            <w:tcBorders>
              <w:top w:val="single" w:sz="8" w:space="0" w:color="000000"/>
              <w:left w:val="nil"/>
              <w:bottom w:val="single" w:sz="8" w:space="0" w:color="auto"/>
              <w:right w:val="single" w:sz="8" w:space="0" w:color="000000"/>
            </w:tcBorders>
            <w:vAlign w:val="center"/>
          </w:tcPr>
          <w:p w14:paraId="7D6B2BA2" w14:textId="17E42A6F" w:rsidR="00DF4F9E" w:rsidRPr="000113B8" w:rsidRDefault="006E0CEA" w:rsidP="00FD5FA6">
            <w:pPr>
              <w:rPr>
                <w:rFonts w:ascii="Garamond" w:hAnsi="Garamond" w:cs="Calibri"/>
                <w:color w:val="000000" w:themeColor="text1"/>
                <w:lang w:eastAsia="es-CO"/>
              </w:rPr>
            </w:pPr>
            <w:r w:rsidRPr="000113B8">
              <w:rPr>
                <w:rFonts w:ascii="Garamond" w:hAnsi="Garamond" w:cs="Calibri"/>
                <w:color w:val="000000" w:themeColor="text1"/>
                <w:lang w:eastAsia="es-CO"/>
              </w:rPr>
              <w:t>$</w:t>
            </w:r>
            <w:r w:rsidRPr="000113B8">
              <w:rPr>
                <w:rFonts w:ascii="Garamond" w:hAnsi="Garamond" w:cs="Arial"/>
                <w:color w:val="000000" w:themeColor="text1"/>
                <w:shd w:val="clear" w:color="auto" w:fill="FFFFFF"/>
              </w:rPr>
              <w:t xml:space="preserve"> </w:t>
            </w:r>
            <w:r w:rsidRPr="000113B8">
              <w:rPr>
                <w:rFonts w:ascii="Garamond" w:hAnsi="Garamond" w:cs="Calibri"/>
                <w:color w:val="000000" w:themeColor="text1"/>
                <w:lang w:eastAsia="es-CO"/>
              </w:rPr>
              <w:t>14.000.000</w:t>
            </w:r>
          </w:p>
        </w:tc>
      </w:tr>
      <w:tr w:rsidR="009A7F8F" w:rsidRPr="000113B8" w14:paraId="7226FB64" w14:textId="77777777" w:rsidTr="00FD5FA6">
        <w:trPr>
          <w:trHeight w:val="375"/>
        </w:trPr>
        <w:tc>
          <w:tcPr>
            <w:tcW w:w="1975" w:type="dxa"/>
            <w:tcBorders>
              <w:top w:val="nil"/>
              <w:left w:val="single" w:sz="8" w:space="0" w:color="auto"/>
              <w:bottom w:val="single" w:sz="8" w:space="0" w:color="auto"/>
              <w:right w:val="single" w:sz="8" w:space="0" w:color="auto"/>
            </w:tcBorders>
            <w:shd w:val="clear" w:color="000000" w:fill="D9D9D9"/>
            <w:vAlign w:val="center"/>
            <w:hideMark/>
          </w:tcPr>
          <w:p w14:paraId="29E85CC9" w14:textId="77777777" w:rsidR="00DF4F9E" w:rsidRPr="000113B8" w:rsidRDefault="00DF4F9E" w:rsidP="00FD5FA6">
            <w:pPr>
              <w:jc w:val="center"/>
              <w:rPr>
                <w:rFonts w:ascii="Garamond" w:hAnsi="Garamond" w:cs="Calibri"/>
                <w:b/>
                <w:bCs/>
                <w:color w:val="000000" w:themeColor="text1"/>
                <w:lang w:eastAsia="es-CO"/>
              </w:rPr>
            </w:pPr>
            <w:r w:rsidRPr="000113B8">
              <w:rPr>
                <w:rFonts w:ascii="Garamond" w:hAnsi="Garamond" w:cs="Calibri"/>
                <w:b/>
                <w:bCs/>
                <w:color w:val="000000" w:themeColor="text1"/>
                <w:lang w:eastAsia="es-CO"/>
              </w:rPr>
              <w:t>OFERENTES QUE PARITICIPARON</w:t>
            </w:r>
          </w:p>
        </w:tc>
        <w:tc>
          <w:tcPr>
            <w:tcW w:w="6804" w:type="dxa"/>
            <w:tcBorders>
              <w:top w:val="single" w:sz="8" w:space="0" w:color="auto"/>
              <w:left w:val="nil"/>
              <w:bottom w:val="single" w:sz="8" w:space="0" w:color="auto"/>
              <w:right w:val="single" w:sz="8" w:space="0" w:color="000000"/>
            </w:tcBorders>
            <w:vAlign w:val="center"/>
          </w:tcPr>
          <w:p w14:paraId="3D721D89" w14:textId="77777777" w:rsidR="00DF4F9E" w:rsidRPr="000113B8" w:rsidRDefault="006E0CEA" w:rsidP="00FD5FA6">
            <w:pPr>
              <w:rPr>
                <w:rFonts w:ascii="Garamond" w:hAnsi="Garamond" w:cs="Calibri"/>
                <w:color w:val="000000" w:themeColor="text1"/>
                <w:lang w:eastAsia="es-CO"/>
              </w:rPr>
            </w:pPr>
            <w:r w:rsidRPr="000113B8">
              <w:rPr>
                <w:rFonts w:ascii="Garamond" w:hAnsi="Garamond" w:cs="Calibri"/>
                <w:color w:val="000000" w:themeColor="text1"/>
                <w:lang w:eastAsia="es-CO"/>
              </w:rPr>
              <w:t>LA PREVISORA S.A. COMPAÑÍA DE SEGUROS</w:t>
            </w:r>
          </w:p>
          <w:p w14:paraId="15279734" w14:textId="77777777" w:rsidR="006E0CEA" w:rsidRPr="000113B8" w:rsidRDefault="006E0CEA" w:rsidP="00FD5FA6">
            <w:pPr>
              <w:rPr>
                <w:rFonts w:ascii="Garamond" w:hAnsi="Garamond" w:cs="Calibri"/>
                <w:color w:val="000000" w:themeColor="text1"/>
                <w:lang w:eastAsia="es-CO"/>
              </w:rPr>
            </w:pPr>
            <w:r w:rsidRPr="000113B8">
              <w:rPr>
                <w:rFonts w:ascii="Garamond" w:hAnsi="Garamond" w:cs="Calibri"/>
                <w:color w:val="000000" w:themeColor="text1"/>
                <w:lang w:eastAsia="es-CO"/>
              </w:rPr>
              <w:t>ASEGURADORA SOLIDARIA DE COLOMBIA ENTIDAD COOPERATIVA.</w:t>
            </w:r>
          </w:p>
          <w:p w14:paraId="7535398F" w14:textId="77777777" w:rsidR="006E0CEA" w:rsidRPr="000113B8" w:rsidRDefault="006E0CEA" w:rsidP="00FD5FA6">
            <w:pPr>
              <w:rPr>
                <w:rFonts w:ascii="Garamond" w:hAnsi="Garamond" w:cs="Calibri"/>
                <w:color w:val="000000" w:themeColor="text1"/>
                <w:lang w:eastAsia="es-CO"/>
              </w:rPr>
            </w:pPr>
            <w:r w:rsidRPr="000113B8">
              <w:rPr>
                <w:rFonts w:ascii="Garamond" w:hAnsi="Garamond" w:cs="Calibri"/>
                <w:color w:val="000000" w:themeColor="text1"/>
                <w:lang w:eastAsia="es-CO"/>
              </w:rPr>
              <w:t>SEGUROS DE VIDA DEL ESTADO S.A.</w:t>
            </w:r>
          </w:p>
          <w:p w14:paraId="523C6622" w14:textId="2F9865B0" w:rsidR="006E0CEA" w:rsidRPr="000113B8" w:rsidRDefault="006E0CEA" w:rsidP="00FD5FA6">
            <w:pPr>
              <w:rPr>
                <w:rFonts w:ascii="Garamond" w:hAnsi="Garamond" w:cs="Calibri"/>
                <w:color w:val="000000" w:themeColor="text1"/>
                <w:lang w:eastAsia="es-CO"/>
              </w:rPr>
            </w:pPr>
            <w:r w:rsidRPr="000113B8">
              <w:rPr>
                <w:rFonts w:ascii="Garamond" w:hAnsi="Garamond" w:cs="Calibri"/>
                <w:color w:val="000000" w:themeColor="text1"/>
                <w:lang w:eastAsia="es-CO"/>
              </w:rPr>
              <w:t>COMPAÑÍA DE SEGUROS DE VIDA AURORA S.A</w:t>
            </w:r>
          </w:p>
        </w:tc>
      </w:tr>
      <w:tr w:rsidR="009A7F8F" w:rsidRPr="000113B8" w14:paraId="2A6B3753" w14:textId="77777777" w:rsidTr="00FD5FA6">
        <w:trPr>
          <w:trHeight w:val="66"/>
        </w:trPr>
        <w:tc>
          <w:tcPr>
            <w:tcW w:w="1975" w:type="dxa"/>
            <w:tcBorders>
              <w:left w:val="single" w:sz="8" w:space="0" w:color="auto"/>
              <w:bottom w:val="single" w:sz="8" w:space="0" w:color="000000"/>
              <w:right w:val="single" w:sz="8" w:space="0" w:color="auto"/>
            </w:tcBorders>
            <w:shd w:val="clear" w:color="auto" w:fill="D9D9D9" w:themeFill="background1" w:themeFillShade="D9"/>
            <w:vAlign w:val="center"/>
          </w:tcPr>
          <w:p w14:paraId="5C8731C0" w14:textId="77777777" w:rsidR="00DF4F9E" w:rsidRPr="000113B8" w:rsidRDefault="00DF4F9E" w:rsidP="00FD5FA6">
            <w:pPr>
              <w:jc w:val="center"/>
              <w:rPr>
                <w:rFonts w:ascii="Garamond" w:hAnsi="Garamond" w:cs="Calibri"/>
                <w:b/>
                <w:bCs/>
                <w:color w:val="000000" w:themeColor="text1"/>
                <w:lang w:eastAsia="es-CO"/>
              </w:rPr>
            </w:pPr>
            <w:r w:rsidRPr="000113B8">
              <w:rPr>
                <w:rFonts w:ascii="Garamond" w:hAnsi="Garamond" w:cs="Calibri"/>
                <w:b/>
                <w:bCs/>
                <w:color w:val="000000" w:themeColor="text1"/>
                <w:lang w:eastAsia="es-CO"/>
              </w:rPr>
              <w:t>ADJUDICATARIO</w:t>
            </w:r>
          </w:p>
        </w:tc>
        <w:tc>
          <w:tcPr>
            <w:tcW w:w="6804" w:type="dxa"/>
            <w:tcBorders>
              <w:top w:val="single" w:sz="8" w:space="0" w:color="auto"/>
              <w:left w:val="nil"/>
              <w:bottom w:val="single" w:sz="8" w:space="0" w:color="auto"/>
              <w:right w:val="single" w:sz="8" w:space="0" w:color="000000"/>
            </w:tcBorders>
            <w:shd w:val="clear" w:color="000000" w:fill="FFFFFF"/>
            <w:vAlign w:val="center"/>
          </w:tcPr>
          <w:p w14:paraId="4609551E" w14:textId="77777777" w:rsidR="006E0CEA" w:rsidRPr="000113B8" w:rsidRDefault="006E0CEA" w:rsidP="006E0CEA">
            <w:pPr>
              <w:rPr>
                <w:rFonts w:ascii="Garamond" w:hAnsi="Garamond" w:cs="Calibri"/>
                <w:color w:val="000000" w:themeColor="text1"/>
                <w:lang w:eastAsia="es-CO"/>
              </w:rPr>
            </w:pPr>
            <w:r w:rsidRPr="000113B8">
              <w:rPr>
                <w:rFonts w:ascii="Garamond" w:hAnsi="Garamond" w:cs="Calibri"/>
                <w:color w:val="000000" w:themeColor="text1"/>
                <w:lang w:eastAsia="es-CO"/>
              </w:rPr>
              <w:t>LA PREVISORA S.A. COMPAÑÍA DE SEGUROS</w:t>
            </w:r>
          </w:p>
          <w:p w14:paraId="498C677E" w14:textId="77777777" w:rsidR="00DF4F9E" w:rsidRPr="000113B8" w:rsidRDefault="00DF4F9E" w:rsidP="00FD5FA6">
            <w:pPr>
              <w:rPr>
                <w:rFonts w:ascii="Garamond" w:hAnsi="Garamond" w:cs="Calibri"/>
                <w:color w:val="000000" w:themeColor="text1"/>
                <w:lang w:eastAsia="es-CO"/>
              </w:rPr>
            </w:pPr>
          </w:p>
        </w:tc>
      </w:tr>
      <w:tr w:rsidR="009A7F8F" w:rsidRPr="000113B8" w14:paraId="6F5081E2" w14:textId="77777777" w:rsidTr="00FD5FA6">
        <w:trPr>
          <w:trHeight w:val="66"/>
        </w:trPr>
        <w:tc>
          <w:tcPr>
            <w:tcW w:w="1975" w:type="dxa"/>
            <w:tcBorders>
              <w:top w:val="nil"/>
              <w:left w:val="single" w:sz="8" w:space="0" w:color="auto"/>
              <w:bottom w:val="single" w:sz="8" w:space="0" w:color="auto"/>
              <w:right w:val="single" w:sz="8" w:space="0" w:color="auto"/>
            </w:tcBorders>
            <w:shd w:val="clear" w:color="000000" w:fill="D9D9D9"/>
            <w:vAlign w:val="center"/>
          </w:tcPr>
          <w:p w14:paraId="6E3629DD" w14:textId="77777777" w:rsidR="00DF4F9E" w:rsidRPr="000113B8" w:rsidRDefault="00DF4F9E" w:rsidP="00FD5FA6">
            <w:pPr>
              <w:jc w:val="center"/>
              <w:rPr>
                <w:rFonts w:ascii="Garamond" w:hAnsi="Garamond" w:cs="Calibri"/>
                <w:b/>
                <w:bCs/>
                <w:color w:val="000000" w:themeColor="text1"/>
                <w:lang w:eastAsia="es-CO"/>
              </w:rPr>
            </w:pPr>
            <w:r w:rsidRPr="000113B8">
              <w:rPr>
                <w:rFonts w:ascii="Garamond" w:hAnsi="Garamond" w:cs="Calibri"/>
                <w:b/>
                <w:bCs/>
                <w:color w:val="000000" w:themeColor="text1"/>
                <w:lang w:eastAsia="es-CO"/>
              </w:rPr>
              <w:t xml:space="preserve">ESTADO </w:t>
            </w:r>
          </w:p>
        </w:tc>
        <w:tc>
          <w:tcPr>
            <w:tcW w:w="6804" w:type="dxa"/>
            <w:tcBorders>
              <w:top w:val="single" w:sz="8" w:space="0" w:color="auto"/>
              <w:left w:val="nil"/>
              <w:bottom w:val="single" w:sz="8" w:space="0" w:color="auto"/>
              <w:right w:val="single" w:sz="8" w:space="0" w:color="000000"/>
            </w:tcBorders>
            <w:shd w:val="clear" w:color="000000" w:fill="FFFFFF"/>
            <w:vAlign w:val="center"/>
          </w:tcPr>
          <w:p w14:paraId="2EF104C3" w14:textId="6DFAB582" w:rsidR="00DF4F9E" w:rsidRPr="000113B8" w:rsidRDefault="006E0CEA" w:rsidP="00FD5FA6">
            <w:pPr>
              <w:rPr>
                <w:rFonts w:ascii="Garamond" w:hAnsi="Garamond" w:cs="Calibri"/>
                <w:color w:val="000000" w:themeColor="text1"/>
                <w:lang w:eastAsia="es-CO"/>
              </w:rPr>
            </w:pPr>
            <w:r w:rsidRPr="000113B8">
              <w:rPr>
                <w:rFonts w:ascii="Garamond" w:hAnsi="Garamond" w:cs="Calibri"/>
                <w:color w:val="000000" w:themeColor="text1"/>
                <w:lang w:eastAsia="es-CO"/>
              </w:rPr>
              <w:t>PROCESO ADJUDICADO Y CELEBRADO</w:t>
            </w:r>
          </w:p>
        </w:tc>
      </w:tr>
      <w:tr w:rsidR="009A7F8F" w:rsidRPr="000113B8" w14:paraId="42537FD7" w14:textId="77777777" w:rsidTr="00FD5FA6">
        <w:trPr>
          <w:trHeight w:val="66"/>
        </w:trPr>
        <w:tc>
          <w:tcPr>
            <w:tcW w:w="1975" w:type="dxa"/>
            <w:tcBorders>
              <w:top w:val="nil"/>
              <w:left w:val="single" w:sz="8" w:space="0" w:color="auto"/>
              <w:bottom w:val="single" w:sz="8" w:space="0" w:color="auto"/>
              <w:right w:val="single" w:sz="8" w:space="0" w:color="auto"/>
            </w:tcBorders>
            <w:shd w:val="clear" w:color="000000" w:fill="D9D9D9"/>
            <w:vAlign w:val="center"/>
            <w:hideMark/>
          </w:tcPr>
          <w:p w14:paraId="7E939B28" w14:textId="77777777" w:rsidR="00DF4F9E" w:rsidRPr="000113B8" w:rsidRDefault="00DF4F9E" w:rsidP="00FD5FA6">
            <w:pPr>
              <w:jc w:val="center"/>
              <w:rPr>
                <w:rFonts w:ascii="Garamond" w:hAnsi="Garamond" w:cs="Calibri"/>
                <w:b/>
                <w:bCs/>
                <w:color w:val="000000" w:themeColor="text1"/>
                <w:lang w:eastAsia="es-CO"/>
              </w:rPr>
            </w:pPr>
            <w:r w:rsidRPr="000113B8">
              <w:rPr>
                <w:rFonts w:ascii="Garamond" w:hAnsi="Garamond" w:cs="Calibri"/>
                <w:b/>
                <w:bCs/>
                <w:color w:val="000000" w:themeColor="text1"/>
                <w:lang w:eastAsia="es-CO"/>
              </w:rPr>
              <w:t>CÓDIGOS UNSPSC</w:t>
            </w:r>
          </w:p>
        </w:tc>
        <w:tc>
          <w:tcPr>
            <w:tcW w:w="6804" w:type="dxa"/>
            <w:tcBorders>
              <w:top w:val="single" w:sz="8" w:space="0" w:color="auto"/>
              <w:left w:val="nil"/>
              <w:bottom w:val="single" w:sz="8" w:space="0" w:color="auto"/>
              <w:right w:val="single" w:sz="8" w:space="0" w:color="000000"/>
            </w:tcBorders>
            <w:shd w:val="clear" w:color="000000" w:fill="FFFFFF"/>
            <w:vAlign w:val="center"/>
          </w:tcPr>
          <w:p w14:paraId="7FB448A3" w14:textId="1D32FE2B" w:rsidR="00DF4F9E" w:rsidRPr="000113B8" w:rsidRDefault="006E0CEA" w:rsidP="00FD5FA6">
            <w:pPr>
              <w:rPr>
                <w:rFonts w:ascii="Garamond" w:hAnsi="Garamond" w:cs="Calibri"/>
                <w:color w:val="000000" w:themeColor="text1"/>
                <w:lang w:eastAsia="es-CO"/>
              </w:rPr>
            </w:pPr>
            <w:r w:rsidRPr="000113B8">
              <w:rPr>
                <w:rFonts w:ascii="Garamond" w:hAnsi="Garamond" w:cs="Calibri"/>
                <w:color w:val="000000" w:themeColor="text1"/>
                <w:lang w:eastAsia="es-CO"/>
              </w:rPr>
              <w:t>84131600 - Seguros de vida, salud y accidentes</w:t>
            </w:r>
          </w:p>
        </w:tc>
      </w:tr>
      <w:tr w:rsidR="009A7F8F" w:rsidRPr="000113B8" w14:paraId="5227EE2F" w14:textId="77777777" w:rsidTr="00FD5FA6">
        <w:trPr>
          <w:trHeight w:val="315"/>
        </w:trPr>
        <w:tc>
          <w:tcPr>
            <w:tcW w:w="1975" w:type="dxa"/>
            <w:tcBorders>
              <w:top w:val="nil"/>
              <w:left w:val="single" w:sz="8" w:space="0" w:color="auto"/>
              <w:bottom w:val="single" w:sz="8" w:space="0" w:color="auto"/>
              <w:right w:val="single" w:sz="8" w:space="0" w:color="auto"/>
            </w:tcBorders>
            <w:shd w:val="clear" w:color="000000" w:fill="D9D9D9"/>
            <w:vAlign w:val="center"/>
            <w:hideMark/>
          </w:tcPr>
          <w:p w14:paraId="185C20DE" w14:textId="77777777" w:rsidR="00DF4F9E" w:rsidRPr="000113B8" w:rsidRDefault="00DF4F9E" w:rsidP="00FD5FA6">
            <w:pPr>
              <w:jc w:val="center"/>
              <w:rPr>
                <w:rFonts w:ascii="Garamond" w:hAnsi="Garamond" w:cs="Calibri"/>
                <w:b/>
                <w:bCs/>
                <w:color w:val="000000" w:themeColor="text1"/>
                <w:lang w:eastAsia="es-CO"/>
              </w:rPr>
            </w:pPr>
            <w:r w:rsidRPr="000113B8">
              <w:rPr>
                <w:rFonts w:ascii="Garamond" w:hAnsi="Garamond" w:cs="Calibri"/>
                <w:b/>
                <w:bCs/>
                <w:color w:val="000000" w:themeColor="text1"/>
                <w:lang w:eastAsia="es-CO"/>
              </w:rPr>
              <w:t>CRITERIOS DIFERENCIALES</w:t>
            </w:r>
          </w:p>
        </w:tc>
        <w:tc>
          <w:tcPr>
            <w:tcW w:w="6804" w:type="dxa"/>
            <w:tcBorders>
              <w:top w:val="single" w:sz="8" w:space="0" w:color="auto"/>
              <w:left w:val="nil"/>
              <w:bottom w:val="single" w:sz="8" w:space="0" w:color="auto"/>
              <w:right w:val="single" w:sz="8" w:space="0" w:color="000000"/>
            </w:tcBorders>
            <w:shd w:val="clear" w:color="000000" w:fill="FFFFFF"/>
            <w:vAlign w:val="center"/>
          </w:tcPr>
          <w:p w14:paraId="21659C3F" w14:textId="1399033E" w:rsidR="00DF4F9E" w:rsidRPr="000113B8" w:rsidRDefault="006E0CEA" w:rsidP="00FD5FA6">
            <w:pPr>
              <w:rPr>
                <w:rFonts w:ascii="Garamond" w:hAnsi="Garamond" w:cs="Calibri"/>
                <w:i/>
                <w:iCs/>
                <w:color w:val="000000" w:themeColor="text1"/>
                <w:lang w:eastAsia="es-CO"/>
              </w:rPr>
            </w:pPr>
            <w:r w:rsidRPr="000113B8">
              <w:rPr>
                <w:rFonts w:ascii="Garamond" w:hAnsi="Garamond" w:cs="Calibri"/>
                <w:i/>
                <w:iCs/>
                <w:color w:val="000000" w:themeColor="text1"/>
                <w:lang w:eastAsia="es-CO"/>
              </w:rPr>
              <w:t xml:space="preserve">Atendiendo al valor del Proceso de Contratación, la presente convocatoria SI es susceptible de ser limitada a </w:t>
            </w:r>
            <w:proofErr w:type="spellStart"/>
            <w:r w:rsidRPr="000113B8">
              <w:rPr>
                <w:rFonts w:ascii="Garamond" w:hAnsi="Garamond" w:cs="Calibri"/>
                <w:i/>
                <w:iCs/>
                <w:color w:val="000000" w:themeColor="text1"/>
                <w:lang w:eastAsia="es-CO"/>
              </w:rPr>
              <w:t>Mipyme</w:t>
            </w:r>
            <w:proofErr w:type="spellEnd"/>
            <w:r w:rsidRPr="000113B8">
              <w:rPr>
                <w:rFonts w:ascii="Garamond" w:hAnsi="Garamond" w:cs="Calibri"/>
                <w:i/>
                <w:iCs/>
                <w:color w:val="000000" w:themeColor="text1"/>
                <w:lang w:eastAsia="es-CO"/>
              </w:rPr>
              <w:t xml:space="preserve"> de conformidad a lo dispuesto en el artículo 2.2.1.2.4.2.2 del </w:t>
            </w:r>
            <w:r w:rsidRPr="000113B8">
              <w:rPr>
                <w:rFonts w:ascii="Garamond" w:hAnsi="Garamond" w:cs="Calibri"/>
                <w:i/>
                <w:iCs/>
                <w:color w:val="000000" w:themeColor="text1"/>
                <w:lang w:eastAsia="es-CO"/>
              </w:rPr>
              <w:lastRenderedPageBreak/>
              <w:t xml:space="preserve">Decreto 1082 de 2015, es decir que el valor de este sea menor a US $125.000 dólares y que por lo menos tres </w:t>
            </w:r>
            <w:proofErr w:type="spellStart"/>
            <w:r w:rsidRPr="000113B8">
              <w:rPr>
                <w:rFonts w:ascii="Garamond" w:hAnsi="Garamond" w:cs="Calibri"/>
                <w:i/>
                <w:iCs/>
                <w:color w:val="000000" w:themeColor="text1"/>
                <w:lang w:eastAsia="es-CO"/>
              </w:rPr>
              <w:t>Mipyme</w:t>
            </w:r>
            <w:proofErr w:type="spellEnd"/>
            <w:r w:rsidRPr="000113B8">
              <w:rPr>
                <w:rFonts w:ascii="Garamond" w:hAnsi="Garamond" w:cs="Calibri"/>
                <w:i/>
                <w:iCs/>
                <w:color w:val="000000" w:themeColor="text1"/>
                <w:lang w:eastAsia="es-CO"/>
              </w:rPr>
              <w:t xml:space="preserve"> manifiesten su interés en limitar la convocatoria. El tercer requisito es el que plantea el artículo 2.2.1.2.4.2.3 del Decreto 1082 de 2015, el cual debe entenderse en el sentido que si las </w:t>
            </w:r>
            <w:proofErr w:type="spellStart"/>
            <w:r w:rsidRPr="000113B8">
              <w:rPr>
                <w:rFonts w:ascii="Garamond" w:hAnsi="Garamond" w:cs="Calibri"/>
                <w:i/>
                <w:iCs/>
                <w:color w:val="000000" w:themeColor="text1"/>
                <w:lang w:eastAsia="es-CO"/>
              </w:rPr>
              <w:t>Mipymes</w:t>
            </w:r>
            <w:proofErr w:type="spellEnd"/>
            <w:r w:rsidRPr="000113B8">
              <w:rPr>
                <w:rFonts w:ascii="Garamond" w:hAnsi="Garamond" w:cs="Calibri"/>
                <w:i/>
                <w:iCs/>
                <w:color w:val="000000" w:themeColor="text1"/>
                <w:lang w:eastAsia="es-CO"/>
              </w:rPr>
              <w:t xml:space="preserve"> que manifiestan su interés en limitar la convocatoria son por lo menos tres </w:t>
            </w:r>
            <w:proofErr w:type="spellStart"/>
            <w:r w:rsidRPr="000113B8">
              <w:rPr>
                <w:rFonts w:ascii="Garamond" w:hAnsi="Garamond" w:cs="Calibri"/>
                <w:i/>
                <w:iCs/>
                <w:color w:val="000000" w:themeColor="text1"/>
                <w:lang w:eastAsia="es-CO"/>
              </w:rPr>
              <w:t>Mipyme</w:t>
            </w:r>
            <w:proofErr w:type="spellEnd"/>
            <w:r w:rsidRPr="000113B8">
              <w:rPr>
                <w:rFonts w:ascii="Garamond" w:hAnsi="Garamond" w:cs="Calibri"/>
                <w:i/>
                <w:iCs/>
                <w:color w:val="000000" w:themeColor="text1"/>
                <w:lang w:eastAsia="es-CO"/>
              </w:rPr>
              <w:t xml:space="preserve"> domiciliadas en el departamento o municipio, la limitación será territorial y no nacional.</w:t>
            </w:r>
          </w:p>
        </w:tc>
      </w:tr>
      <w:tr w:rsidR="009A7F8F" w:rsidRPr="000113B8" w14:paraId="4508A61E" w14:textId="77777777" w:rsidTr="00FD5FA6">
        <w:trPr>
          <w:trHeight w:val="633"/>
        </w:trPr>
        <w:tc>
          <w:tcPr>
            <w:tcW w:w="1975" w:type="dxa"/>
            <w:tcBorders>
              <w:top w:val="nil"/>
              <w:left w:val="single" w:sz="8" w:space="0" w:color="auto"/>
              <w:bottom w:val="single" w:sz="8" w:space="0" w:color="auto"/>
              <w:right w:val="single" w:sz="8" w:space="0" w:color="auto"/>
            </w:tcBorders>
            <w:shd w:val="clear" w:color="000000" w:fill="D9D9D9"/>
            <w:vAlign w:val="center"/>
          </w:tcPr>
          <w:p w14:paraId="60E95DFC" w14:textId="77777777" w:rsidR="00DF4F9E" w:rsidRPr="000113B8" w:rsidRDefault="00DF4F9E" w:rsidP="00FD5FA6">
            <w:pPr>
              <w:jc w:val="center"/>
              <w:rPr>
                <w:rFonts w:ascii="Garamond" w:hAnsi="Garamond" w:cs="Calibri"/>
                <w:b/>
                <w:bCs/>
                <w:color w:val="000000" w:themeColor="text1"/>
                <w:lang w:eastAsia="es-CO"/>
              </w:rPr>
            </w:pPr>
            <w:r w:rsidRPr="000113B8">
              <w:rPr>
                <w:rFonts w:ascii="Garamond" w:hAnsi="Garamond" w:cs="Calibri"/>
                <w:b/>
                <w:bCs/>
                <w:color w:val="000000" w:themeColor="text1"/>
                <w:lang w:eastAsia="es-CO"/>
              </w:rPr>
              <w:lastRenderedPageBreak/>
              <w:t>FOMA DE PAGO</w:t>
            </w:r>
          </w:p>
        </w:tc>
        <w:tc>
          <w:tcPr>
            <w:tcW w:w="6804" w:type="dxa"/>
            <w:tcBorders>
              <w:top w:val="single" w:sz="8" w:space="0" w:color="auto"/>
              <w:left w:val="nil"/>
              <w:bottom w:val="single" w:sz="8" w:space="0" w:color="auto"/>
              <w:right w:val="single" w:sz="8" w:space="0" w:color="000000"/>
            </w:tcBorders>
            <w:shd w:val="clear" w:color="000000" w:fill="FFFFFF"/>
            <w:vAlign w:val="center"/>
          </w:tcPr>
          <w:p w14:paraId="73C76F60" w14:textId="447880E8" w:rsidR="00DF4F9E" w:rsidRPr="000113B8" w:rsidRDefault="006E0CEA" w:rsidP="00FD5FA6">
            <w:pPr>
              <w:jc w:val="both"/>
              <w:rPr>
                <w:rFonts w:ascii="Garamond" w:hAnsi="Garamond" w:cs="Calibri"/>
                <w:i/>
                <w:iCs/>
                <w:color w:val="000000" w:themeColor="text1"/>
                <w:lang w:eastAsia="es-CO"/>
              </w:rPr>
            </w:pPr>
            <w:r w:rsidRPr="000113B8">
              <w:rPr>
                <w:rFonts w:ascii="Garamond" w:hAnsi="Garamond" w:cs="Calibri"/>
                <w:i/>
                <w:iCs/>
                <w:color w:val="000000" w:themeColor="text1"/>
                <w:lang w:eastAsia="es-CO"/>
              </w:rPr>
              <w:t>EL MUNICIPIO realizará al contratista un único pago correspondiente a la totalidad del valor del contrato, una vez sean expedidas las pólizas objeto del contrato, esto es, una vez se dé el cumplimiento por parte del contratista de la obligación específica a su cargo, previa certificación del supervisor.</w:t>
            </w:r>
          </w:p>
        </w:tc>
      </w:tr>
      <w:tr w:rsidR="00DF4F9E" w:rsidRPr="000113B8" w14:paraId="1E2282BC" w14:textId="77777777" w:rsidTr="00FD5FA6">
        <w:trPr>
          <w:trHeight w:val="207"/>
        </w:trPr>
        <w:tc>
          <w:tcPr>
            <w:tcW w:w="1975" w:type="dxa"/>
            <w:tcBorders>
              <w:top w:val="nil"/>
              <w:left w:val="single" w:sz="8" w:space="0" w:color="auto"/>
              <w:bottom w:val="single" w:sz="8" w:space="0" w:color="auto"/>
              <w:right w:val="single" w:sz="8" w:space="0" w:color="auto"/>
            </w:tcBorders>
            <w:shd w:val="clear" w:color="000000" w:fill="D9D9D9"/>
            <w:vAlign w:val="center"/>
          </w:tcPr>
          <w:p w14:paraId="77D9AAA1" w14:textId="77777777" w:rsidR="00DF4F9E" w:rsidRPr="000113B8" w:rsidRDefault="00DF4F9E" w:rsidP="00FD5FA6">
            <w:pPr>
              <w:jc w:val="center"/>
              <w:rPr>
                <w:rFonts w:ascii="Garamond" w:hAnsi="Garamond" w:cs="Calibri"/>
                <w:b/>
                <w:bCs/>
                <w:color w:val="000000" w:themeColor="text1"/>
                <w:lang w:eastAsia="es-CO"/>
              </w:rPr>
            </w:pPr>
            <w:r w:rsidRPr="000113B8">
              <w:rPr>
                <w:rFonts w:ascii="Garamond" w:hAnsi="Garamond" w:cs="Calibri"/>
                <w:b/>
                <w:bCs/>
                <w:color w:val="000000" w:themeColor="text1"/>
                <w:lang w:eastAsia="es-CO"/>
              </w:rPr>
              <w:t>ENLACE DEL SECOP</w:t>
            </w:r>
          </w:p>
        </w:tc>
        <w:tc>
          <w:tcPr>
            <w:tcW w:w="6804" w:type="dxa"/>
            <w:tcBorders>
              <w:top w:val="single" w:sz="8" w:space="0" w:color="auto"/>
              <w:left w:val="nil"/>
              <w:bottom w:val="single" w:sz="8" w:space="0" w:color="auto"/>
              <w:right w:val="single" w:sz="8" w:space="0" w:color="000000"/>
            </w:tcBorders>
            <w:shd w:val="clear" w:color="000000" w:fill="FFFFFF"/>
            <w:vAlign w:val="center"/>
          </w:tcPr>
          <w:p w14:paraId="7473EB9B" w14:textId="441B6CF9" w:rsidR="00DF4F9E" w:rsidRPr="000113B8" w:rsidRDefault="006E0CEA" w:rsidP="00FD5FA6">
            <w:pPr>
              <w:rPr>
                <w:rFonts w:ascii="Garamond" w:hAnsi="Garamond" w:cs="Calibri"/>
                <w:color w:val="000000" w:themeColor="text1"/>
                <w:u w:val="single"/>
                <w:lang w:eastAsia="es-CO"/>
              </w:rPr>
            </w:pPr>
            <w:hyperlink r:id="rId54" w:history="1">
              <w:r w:rsidRPr="000113B8">
                <w:rPr>
                  <w:rStyle w:val="Hipervnculo"/>
                  <w:rFonts w:ascii="Garamond" w:hAnsi="Garamond" w:cs="Calibri"/>
                  <w:color w:val="000000" w:themeColor="text1"/>
                  <w:lang w:eastAsia="es-CO"/>
                </w:rPr>
                <w:t>https://community.secop.gov.co/Public/Tendering/OpportunityDetail/Index?noticeUID=CO1.NTC.8603249&amp;isFromPublicArea=True&amp;isModal=Fals</w:t>
              </w:r>
            </w:hyperlink>
          </w:p>
        </w:tc>
      </w:tr>
    </w:tbl>
    <w:p w14:paraId="77D385AF" w14:textId="77777777" w:rsidR="00DF4F9E" w:rsidRPr="000113B8" w:rsidRDefault="00DF4F9E" w:rsidP="00A54369">
      <w:pPr>
        <w:pStyle w:val="Default"/>
        <w:jc w:val="both"/>
        <w:rPr>
          <w:rFonts w:ascii="Garamond" w:hAnsi="Garamond"/>
          <w:b/>
          <w:color w:val="000000" w:themeColor="text1"/>
          <w:sz w:val="22"/>
          <w:szCs w:val="22"/>
        </w:rPr>
      </w:pPr>
    </w:p>
    <w:tbl>
      <w:tblPr>
        <w:tblW w:w="0" w:type="auto"/>
        <w:tblLayout w:type="fixed"/>
        <w:tblCellMar>
          <w:left w:w="70" w:type="dxa"/>
          <w:right w:w="70" w:type="dxa"/>
        </w:tblCellMar>
        <w:tblLook w:val="04A0" w:firstRow="1" w:lastRow="0" w:firstColumn="1" w:lastColumn="0" w:noHBand="0" w:noVBand="1"/>
      </w:tblPr>
      <w:tblGrid>
        <w:gridCol w:w="1975"/>
        <w:gridCol w:w="6804"/>
      </w:tblGrid>
      <w:tr w:rsidR="009A7F8F" w:rsidRPr="000113B8" w14:paraId="535BAB18" w14:textId="77777777" w:rsidTr="00FD5FA6">
        <w:trPr>
          <w:trHeight w:val="375"/>
        </w:trPr>
        <w:tc>
          <w:tcPr>
            <w:tcW w:w="1975" w:type="dxa"/>
            <w:tcBorders>
              <w:top w:val="single" w:sz="8" w:space="0" w:color="auto"/>
              <w:left w:val="single" w:sz="8" w:space="0" w:color="auto"/>
              <w:bottom w:val="single" w:sz="8" w:space="0" w:color="auto"/>
              <w:right w:val="single" w:sz="8" w:space="0" w:color="000000"/>
            </w:tcBorders>
            <w:shd w:val="clear" w:color="000000" w:fill="D9D9D9"/>
            <w:vAlign w:val="center"/>
            <w:hideMark/>
          </w:tcPr>
          <w:p w14:paraId="2368BF69" w14:textId="77777777" w:rsidR="00DF4F9E" w:rsidRPr="000113B8" w:rsidRDefault="00DF4F9E" w:rsidP="00FD5FA6">
            <w:pPr>
              <w:jc w:val="center"/>
              <w:rPr>
                <w:rFonts w:ascii="Garamond" w:hAnsi="Garamond" w:cs="Calibri"/>
                <w:b/>
                <w:bCs/>
                <w:color w:val="000000" w:themeColor="text1"/>
                <w:lang w:eastAsia="es-CO"/>
              </w:rPr>
            </w:pPr>
            <w:r w:rsidRPr="000113B8">
              <w:rPr>
                <w:rFonts w:ascii="Garamond" w:hAnsi="Garamond" w:cs="Calibri"/>
                <w:b/>
                <w:bCs/>
                <w:color w:val="000000" w:themeColor="text1"/>
                <w:lang w:eastAsia="es-CO"/>
              </w:rPr>
              <w:t>ENTIDAD</w:t>
            </w:r>
          </w:p>
        </w:tc>
        <w:tc>
          <w:tcPr>
            <w:tcW w:w="6804" w:type="dxa"/>
            <w:tcBorders>
              <w:top w:val="single" w:sz="8" w:space="0" w:color="auto"/>
              <w:left w:val="nil"/>
              <w:bottom w:val="single" w:sz="8" w:space="0" w:color="auto"/>
              <w:right w:val="single" w:sz="8" w:space="0" w:color="auto"/>
            </w:tcBorders>
            <w:vAlign w:val="center"/>
          </w:tcPr>
          <w:p w14:paraId="0483E7AE" w14:textId="000CE8AC" w:rsidR="00DF4F9E" w:rsidRPr="000113B8" w:rsidRDefault="00B96BA1" w:rsidP="00FD5FA6">
            <w:pPr>
              <w:rPr>
                <w:rFonts w:ascii="Garamond" w:hAnsi="Garamond" w:cs="Calibri"/>
                <w:b/>
                <w:bCs/>
                <w:color w:val="000000" w:themeColor="text1"/>
                <w:lang w:eastAsia="es-CO"/>
              </w:rPr>
            </w:pPr>
            <w:r w:rsidRPr="000113B8">
              <w:rPr>
                <w:rFonts w:ascii="Garamond" w:hAnsi="Garamond" w:cs="Calibri"/>
                <w:b/>
                <w:bCs/>
                <w:color w:val="000000" w:themeColor="text1"/>
                <w:lang w:eastAsia="es-CO"/>
              </w:rPr>
              <w:t>ALCALDÍA MUNICIPAL DE TURBANA</w:t>
            </w:r>
          </w:p>
        </w:tc>
      </w:tr>
      <w:tr w:rsidR="009A7F8F" w:rsidRPr="000113B8" w14:paraId="2B9DA245" w14:textId="77777777" w:rsidTr="00FD5FA6">
        <w:trPr>
          <w:trHeight w:val="315"/>
        </w:trPr>
        <w:tc>
          <w:tcPr>
            <w:tcW w:w="1975" w:type="dxa"/>
            <w:tcBorders>
              <w:top w:val="single" w:sz="8" w:space="0" w:color="auto"/>
              <w:left w:val="single" w:sz="8" w:space="0" w:color="auto"/>
              <w:bottom w:val="single" w:sz="8" w:space="0" w:color="auto"/>
              <w:right w:val="single" w:sz="8" w:space="0" w:color="000000"/>
            </w:tcBorders>
            <w:shd w:val="clear" w:color="000000" w:fill="D9D9D9"/>
            <w:vAlign w:val="center"/>
            <w:hideMark/>
          </w:tcPr>
          <w:p w14:paraId="7EBF89FD" w14:textId="77777777" w:rsidR="00DF4F9E" w:rsidRPr="000113B8" w:rsidRDefault="00DF4F9E" w:rsidP="00FD5FA6">
            <w:pPr>
              <w:jc w:val="center"/>
              <w:rPr>
                <w:rFonts w:ascii="Garamond" w:hAnsi="Garamond" w:cs="Calibri"/>
                <w:b/>
                <w:bCs/>
                <w:color w:val="000000" w:themeColor="text1"/>
                <w:lang w:eastAsia="es-CO"/>
              </w:rPr>
            </w:pPr>
            <w:r w:rsidRPr="000113B8">
              <w:rPr>
                <w:rFonts w:ascii="Garamond" w:hAnsi="Garamond" w:cs="Calibri"/>
                <w:b/>
                <w:bCs/>
                <w:color w:val="000000" w:themeColor="text1"/>
                <w:lang w:eastAsia="es-CO"/>
              </w:rPr>
              <w:t>REFERENCIA DEL PROCESO</w:t>
            </w:r>
          </w:p>
        </w:tc>
        <w:tc>
          <w:tcPr>
            <w:tcW w:w="6804" w:type="dxa"/>
            <w:tcBorders>
              <w:top w:val="nil"/>
              <w:left w:val="nil"/>
              <w:bottom w:val="single" w:sz="8" w:space="0" w:color="auto"/>
              <w:right w:val="single" w:sz="8" w:space="0" w:color="auto"/>
            </w:tcBorders>
            <w:noWrap/>
            <w:vAlign w:val="center"/>
          </w:tcPr>
          <w:p w14:paraId="151D99B0" w14:textId="2835DC51" w:rsidR="00DF4F9E" w:rsidRPr="000113B8" w:rsidRDefault="00B96BA1" w:rsidP="00FD5FA6">
            <w:pPr>
              <w:rPr>
                <w:rFonts w:ascii="Garamond" w:hAnsi="Garamond" w:cs="Arial"/>
                <w:color w:val="000000" w:themeColor="text1"/>
                <w:lang w:eastAsia="es-CO"/>
              </w:rPr>
            </w:pPr>
            <w:r w:rsidRPr="000113B8">
              <w:rPr>
                <w:rFonts w:ascii="Garamond" w:hAnsi="Garamond" w:cs="Arial"/>
                <w:color w:val="000000" w:themeColor="text1"/>
                <w:lang w:eastAsia="es-CO"/>
              </w:rPr>
              <w:t>MCT-025-2024</w:t>
            </w:r>
          </w:p>
        </w:tc>
      </w:tr>
      <w:tr w:rsidR="009A7F8F" w:rsidRPr="000113B8" w14:paraId="14C0A50C" w14:textId="77777777" w:rsidTr="00FD5FA6">
        <w:trPr>
          <w:trHeight w:val="387"/>
        </w:trPr>
        <w:tc>
          <w:tcPr>
            <w:tcW w:w="1975" w:type="dxa"/>
            <w:tcBorders>
              <w:top w:val="single" w:sz="8" w:space="0" w:color="auto"/>
              <w:left w:val="single" w:sz="8" w:space="0" w:color="auto"/>
              <w:bottom w:val="single" w:sz="8" w:space="0" w:color="000000"/>
              <w:right w:val="single" w:sz="8" w:space="0" w:color="000000"/>
            </w:tcBorders>
            <w:shd w:val="clear" w:color="000000" w:fill="D9D9D9"/>
            <w:vAlign w:val="center"/>
            <w:hideMark/>
          </w:tcPr>
          <w:p w14:paraId="596706C8" w14:textId="77777777" w:rsidR="00DF4F9E" w:rsidRPr="000113B8" w:rsidRDefault="00DF4F9E" w:rsidP="00FD5FA6">
            <w:pPr>
              <w:jc w:val="center"/>
              <w:rPr>
                <w:rFonts w:ascii="Garamond" w:hAnsi="Garamond" w:cs="Calibri"/>
                <w:b/>
                <w:bCs/>
                <w:color w:val="000000" w:themeColor="text1"/>
                <w:lang w:eastAsia="es-CO"/>
              </w:rPr>
            </w:pPr>
            <w:r w:rsidRPr="000113B8">
              <w:rPr>
                <w:rFonts w:ascii="Garamond" w:hAnsi="Garamond" w:cs="Calibri"/>
                <w:b/>
                <w:bCs/>
                <w:color w:val="000000" w:themeColor="text1"/>
                <w:lang w:eastAsia="es-CO"/>
              </w:rPr>
              <w:t>OBJETO</w:t>
            </w:r>
          </w:p>
        </w:tc>
        <w:tc>
          <w:tcPr>
            <w:tcW w:w="6804" w:type="dxa"/>
            <w:tcBorders>
              <w:top w:val="nil"/>
              <w:left w:val="nil"/>
              <w:bottom w:val="single" w:sz="8" w:space="0" w:color="000000"/>
              <w:right w:val="single" w:sz="8" w:space="0" w:color="auto"/>
            </w:tcBorders>
            <w:vAlign w:val="center"/>
          </w:tcPr>
          <w:p w14:paraId="607C1F10" w14:textId="49E3E9DA" w:rsidR="00DF4F9E" w:rsidRPr="000113B8" w:rsidRDefault="00B96BA1" w:rsidP="00FD5FA6">
            <w:pPr>
              <w:rPr>
                <w:rFonts w:ascii="Garamond" w:hAnsi="Garamond" w:cs="Calibri"/>
                <w:color w:val="000000" w:themeColor="text1"/>
                <w:lang w:eastAsia="es-CO"/>
              </w:rPr>
            </w:pPr>
            <w:r w:rsidRPr="000113B8">
              <w:rPr>
                <w:rFonts w:ascii="Garamond" w:hAnsi="Garamond" w:cs="Calibri"/>
                <w:color w:val="000000" w:themeColor="text1"/>
                <w:lang w:eastAsia="es-CO"/>
              </w:rPr>
              <w:t>CONTRATAR LA ADQUISICIÓN DE PÓLIZAS DE SEGUROS EN DOS GRUPOS ASÍ: (1) VIDA GRUPO PARA ALCALDE, CONCEJALES Y EL PERSONERO MUNICIPAL, ADQUISICION DE POLIZAS DE MANEJO PARA LOS SERVIDORES PUBLICOS ALCALDE Y TESORERO DEL MUNICIPIO DE TURBANA</w:t>
            </w:r>
          </w:p>
        </w:tc>
      </w:tr>
      <w:tr w:rsidR="009A7F8F" w:rsidRPr="000113B8" w14:paraId="117B0DEF" w14:textId="77777777" w:rsidTr="00FD5FA6">
        <w:trPr>
          <w:trHeight w:val="507"/>
        </w:trPr>
        <w:tc>
          <w:tcPr>
            <w:tcW w:w="1975" w:type="dxa"/>
            <w:tcBorders>
              <w:top w:val="single" w:sz="8" w:space="0" w:color="auto"/>
              <w:left w:val="single" w:sz="8" w:space="0" w:color="auto"/>
              <w:bottom w:val="single" w:sz="8" w:space="0" w:color="000000"/>
              <w:right w:val="single" w:sz="8" w:space="0" w:color="000000"/>
            </w:tcBorders>
            <w:shd w:val="clear" w:color="000000" w:fill="D9D9D9"/>
            <w:vAlign w:val="center"/>
          </w:tcPr>
          <w:p w14:paraId="3D8876FB" w14:textId="77777777" w:rsidR="00DF4F9E" w:rsidRPr="000113B8" w:rsidRDefault="00DF4F9E" w:rsidP="00FD5FA6">
            <w:pPr>
              <w:jc w:val="center"/>
              <w:rPr>
                <w:rFonts w:ascii="Garamond" w:hAnsi="Garamond" w:cs="Calibri"/>
                <w:b/>
                <w:bCs/>
                <w:color w:val="000000" w:themeColor="text1"/>
                <w:lang w:eastAsia="es-CO"/>
              </w:rPr>
            </w:pPr>
            <w:r w:rsidRPr="000113B8">
              <w:rPr>
                <w:rFonts w:ascii="Garamond" w:hAnsi="Garamond" w:cs="Calibri"/>
                <w:b/>
                <w:bCs/>
                <w:color w:val="000000" w:themeColor="text1"/>
                <w:lang w:eastAsia="es-CO"/>
              </w:rPr>
              <w:t>PLAZO ESTIMADO DE EJECUCIÓN</w:t>
            </w:r>
          </w:p>
        </w:tc>
        <w:tc>
          <w:tcPr>
            <w:tcW w:w="6804" w:type="dxa"/>
            <w:tcBorders>
              <w:top w:val="nil"/>
              <w:left w:val="nil"/>
              <w:bottom w:val="single" w:sz="8" w:space="0" w:color="000000"/>
              <w:right w:val="single" w:sz="8" w:space="0" w:color="auto"/>
            </w:tcBorders>
            <w:vAlign w:val="center"/>
          </w:tcPr>
          <w:p w14:paraId="374948CF" w14:textId="71632EA9" w:rsidR="00DF4F9E" w:rsidRPr="000113B8" w:rsidRDefault="00B96BA1" w:rsidP="00FD5FA6">
            <w:pPr>
              <w:rPr>
                <w:rFonts w:ascii="Garamond" w:hAnsi="Garamond" w:cs="Calibri"/>
                <w:color w:val="000000" w:themeColor="text1"/>
                <w:lang w:eastAsia="es-CO"/>
              </w:rPr>
            </w:pPr>
            <w:r w:rsidRPr="000113B8">
              <w:rPr>
                <w:rFonts w:ascii="Garamond" w:hAnsi="Garamond" w:cs="Calibri"/>
                <w:color w:val="000000" w:themeColor="text1"/>
                <w:lang w:eastAsia="es-CO"/>
              </w:rPr>
              <w:t>5 (Días)</w:t>
            </w:r>
          </w:p>
        </w:tc>
      </w:tr>
      <w:tr w:rsidR="009A7F8F" w:rsidRPr="000113B8" w14:paraId="3FBF0173" w14:textId="77777777" w:rsidTr="00FD5FA6">
        <w:trPr>
          <w:trHeight w:val="389"/>
        </w:trPr>
        <w:tc>
          <w:tcPr>
            <w:tcW w:w="1975" w:type="dxa"/>
            <w:tcBorders>
              <w:top w:val="single" w:sz="8" w:space="0" w:color="auto"/>
              <w:left w:val="single" w:sz="8" w:space="0" w:color="auto"/>
              <w:bottom w:val="single" w:sz="8" w:space="0" w:color="000000"/>
              <w:right w:val="single" w:sz="8" w:space="0" w:color="000000"/>
            </w:tcBorders>
            <w:shd w:val="clear" w:color="000000" w:fill="D9D9D9"/>
            <w:vAlign w:val="center"/>
          </w:tcPr>
          <w:p w14:paraId="38D25068" w14:textId="77777777" w:rsidR="00DF4F9E" w:rsidRPr="000113B8" w:rsidRDefault="00DF4F9E" w:rsidP="00FD5FA6">
            <w:pPr>
              <w:jc w:val="center"/>
              <w:rPr>
                <w:rFonts w:ascii="Garamond" w:hAnsi="Garamond" w:cs="Calibri"/>
                <w:b/>
                <w:bCs/>
                <w:color w:val="000000" w:themeColor="text1"/>
                <w:lang w:eastAsia="es-CO"/>
              </w:rPr>
            </w:pPr>
            <w:r w:rsidRPr="000113B8">
              <w:rPr>
                <w:rFonts w:ascii="Garamond" w:hAnsi="Garamond" w:cs="Calibri"/>
                <w:b/>
                <w:bCs/>
                <w:color w:val="000000" w:themeColor="text1"/>
                <w:lang w:eastAsia="es-CO"/>
              </w:rPr>
              <w:t>MODALIDAD DE SELECCIÓN</w:t>
            </w:r>
          </w:p>
        </w:tc>
        <w:tc>
          <w:tcPr>
            <w:tcW w:w="6804" w:type="dxa"/>
            <w:tcBorders>
              <w:top w:val="nil"/>
              <w:left w:val="nil"/>
              <w:bottom w:val="single" w:sz="8" w:space="0" w:color="000000"/>
              <w:right w:val="single" w:sz="8" w:space="0" w:color="auto"/>
            </w:tcBorders>
            <w:vAlign w:val="center"/>
          </w:tcPr>
          <w:p w14:paraId="776383AA" w14:textId="64300478" w:rsidR="00DF4F9E" w:rsidRPr="000113B8" w:rsidRDefault="00B96BA1" w:rsidP="00FD5FA6">
            <w:pPr>
              <w:rPr>
                <w:rFonts w:ascii="Garamond" w:hAnsi="Garamond" w:cs="Calibri"/>
                <w:color w:val="000000" w:themeColor="text1"/>
                <w:lang w:eastAsia="es-CO"/>
              </w:rPr>
            </w:pPr>
            <w:r w:rsidRPr="000113B8">
              <w:rPr>
                <w:rFonts w:ascii="Garamond" w:hAnsi="Garamond" w:cs="Calibri"/>
                <w:color w:val="000000" w:themeColor="text1"/>
                <w:lang w:eastAsia="es-CO"/>
              </w:rPr>
              <w:t>MÍNIMA CUANTÍA</w:t>
            </w:r>
          </w:p>
        </w:tc>
      </w:tr>
      <w:tr w:rsidR="009A7F8F" w:rsidRPr="000113B8" w14:paraId="3235E66F" w14:textId="77777777" w:rsidTr="00FD5FA6">
        <w:trPr>
          <w:trHeight w:val="315"/>
        </w:trPr>
        <w:tc>
          <w:tcPr>
            <w:tcW w:w="1975" w:type="dxa"/>
            <w:tcBorders>
              <w:top w:val="nil"/>
              <w:left w:val="single" w:sz="8" w:space="0" w:color="auto"/>
              <w:bottom w:val="single" w:sz="8" w:space="0" w:color="auto"/>
              <w:right w:val="single" w:sz="8" w:space="0" w:color="auto"/>
            </w:tcBorders>
            <w:shd w:val="clear" w:color="000000" w:fill="D9D9D9"/>
            <w:vAlign w:val="center"/>
            <w:hideMark/>
          </w:tcPr>
          <w:p w14:paraId="1DA779D0" w14:textId="77777777" w:rsidR="00DF4F9E" w:rsidRPr="000113B8" w:rsidRDefault="00DF4F9E" w:rsidP="00FD5FA6">
            <w:pPr>
              <w:jc w:val="center"/>
              <w:rPr>
                <w:rFonts w:ascii="Garamond" w:hAnsi="Garamond" w:cs="Calibri"/>
                <w:b/>
                <w:bCs/>
                <w:color w:val="000000" w:themeColor="text1"/>
                <w:lang w:eastAsia="es-CO"/>
              </w:rPr>
            </w:pPr>
            <w:r w:rsidRPr="000113B8">
              <w:rPr>
                <w:rFonts w:ascii="Garamond" w:hAnsi="Garamond" w:cs="Calibri"/>
                <w:b/>
                <w:bCs/>
                <w:color w:val="000000" w:themeColor="text1"/>
                <w:lang w:eastAsia="es-CO"/>
              </w:rPr>
              <w:t>PRESUPUESTO</w:t>
            </w:r>
          </w:p>
        </w:tc>
        <w:tc>
          <w:tcPr>
            <w:tcW w:w="6804" w:type="dxa"/>
            <w:tcBorders>
              <w:top w:val="single" w:sz="8" w:space="0" w:color="000000"/>
              <w:left w:val="nil"/>
              <w:bottom w:val="single" w:sz="8" w:space="0" w:color="auto"/>
              <w:right w:val="single" w:sz="8" w:space="0" w:color="000000"/>
            </w:tcBorders>
            <w:vAlign w:val="center"/>
          </w:tcPr>
          <w:p w14:paraId="3CF8DCA8" w14:textId="30FE80B9" w:rsidR="00DF4F9E" w:rsidRPr="000113B8" w:rsidRDefault="00B96BA1" w:rsidP="00FD5FA6">
            <w:pPr>
              <w:rPr>
                <w:rFonts w:ascii="Garamond" w:hAnsi="Garamond" w:cs="Calibri"/>
                <w:color w:val="000000" w:themeColor="text1"/>
                <w:lang w:eastAsia="es-CO"/>
              </w:rPr>
            </w:pPr>
            <w:r w:rsidRPr="000113B8">
              <w:rPr>
                <w:rFonts w:ascii="Garamond" w:hAnsi="Garamond" w:cs="Calibri"/>
                <w:color w:val="000000" w:themeColor="text1"/>
                <w:lang w:eastAsia="es-CO"/>
              </w:rPr>
              <w:t>$</w:t>
            </w:r>
            <w:r w:rsidRPr="000113B8">
              <w:rPr>
                <w:rFonts w:ascii="Garamond" w:hAnsi="Garamond" w:cs="Arial"/>
                <w:color w:val="000000" w:themeColor="text1"/>
                <w:shd w:val="clear" w:color="auto" w:fill="FFFFFF"/>
              </w:rPr>
              <w:t xml:space="preserve"> </w:t>
            </w:r>
            <w:r w:rsidRPr="000113B8">
              <w:rPr>
                <w:rFonts w:ascii="Garamond" w:hAnsi="Garamond" w:cs="Calibri"/>
                <w:color w:val="000000" w:themeColor="text1"/>
                <w:lang w:eastAsia="es-CO"/>
              </w:rPr>
              <w:t>17.000.000</w:t>
            </w:r>
          </w:p>
        </w:tc>
      </w:tr>
      <w:tr w:rsidR="009A7F8F" w:rsidRPr="000113B8" w14:paraId="754A304B" w14:textId="77777777" w:rsidTr="00FD5FA6">
        <w:trPr>
          <w:trHeight w:val="375"/>
        </w:trPr>
        <w:tc>
          <w:tcPr>
            <w:tcW w:w="1975" w:type="dxa"/>
            <w:tcBorders>
              <w:top w:val="nil"/>
              <w:left w:val="single" w:sz="8" w:space="0" w:color="auto"/>
              <w:bottom w:val="single" w:sz="8" w:space="0" w:color="auto"/>
              <w:right w:val="single" w:sz="8" w:space="0" w:color="auto"/>
            </w:tcBorders>
            <w:shd w:val="clear" w:color="000000" w:fill="D9D9D9"/>
            <w:vAlign w:val="center"/>
            <w:hideMark/>
          </w:tcPr>
          <w:p w14:paraId="58D5FC27" w14:textId="77777777" w:rsidR="00DF4F9E" w:rsidRPr="000113B8" w:rsidRDefault="00DF4F9E" w:rsidP="00FD5FA6">
            <w:pPr>
              <w:jc w:val="center"/>
              <w:rPr>
                <w:rFonts w:ascii="Garamond" w:hAnsi="Garamond" w:cs="Calibri"/>
                <w:b/>
                <w:bCs/>
                <w:color w:val="000000" w:themeColor="text1"/>
                <w:lang w:eastAsia="es-CO"/>
              </w:rPr>
            </w:pPr>
            <w:r w:rsidRPr="000113B8">
              <w:rPr>
                <w:rFonts w:ascii="Garamond" w:hAnsi="Garamond" w:cs="Calibri"/>
                <w:b/>
                <w:bCs/>
                <w:color w:val="000000" w:themeColor="text1"/>
                <w:lang w:eastAsia="es-CO"/>
              </w:rPr>
              <w:t>OFERENTES QUE PARITICIPARON</w:t>
            </w:r>
          </w:p>
        </w:tc>
        <w:tc>
          <w:tcPr>
            <w:tcW w:w="6804" w:type="dxa"/>
            <w:tcBorders>
              <w:top w:val="single" w:sz="8" w:space="0" w:color="auto"/>
              <w:left w:val="nil"/>
              <w:bottom w:val="single" w:sz="8" w:space="0" w:color="auto"/>
              <w:right w:val="single" w:sz="8" w:space="0" w:color="000000"/>
            </w:tcBorders>
            <w:vAlign w:val="center"/>
          </w:tcPr>
          <w:p w14:paraId="2437371E" w14:textId="159926FA" w:rsidR="00DF4F9E" w:rsidRPr="000113B8" w:rsidRDefault="00B96BA1" w:rsidP="00FD5FA6">
            <w:pPr>
              <w:rPr>
                <w:rFonts w:ascii="Garamond" w:hAnsi="Garamond" w:cs="Calibri"/>
                <w:color w:val="000000" w:themeColor="text1"/>
                <w:lang w:eastAsia="es-CO"/>
              </w:rPr>
            </w:pPr>
            <w:r w:rsidRPr="000113B8">
              <w:rPr>
                <w:rFonts w:ascii="Garamond" w:hAnsi="Garamond" w:cs="Calibri"/>
                <w:color w:val="000000" w:themeColor="text1"/>
                <w:lang w:eastAsia="es-CO"/>
              </w:rPr>
              <w:t>ASEGURADORA SOLIDARIA DE COLOMBIA ENTIDAD COOPERATIVA.</w:t>
            </w:r>
          </w:p>
        </w:tc>
      </w:tr>
      <w:tr w:rsidR="009A7F8F" w:rsidRPr="000113B8" w14:paraId="7AD63640" w14:textId="77777777" w:rsidTr="00FD5FA6">
        <w:trPr>
          <w:trHeight w:val="66"/>
        </w:trPr>
        <w:tc>
          <w:tcPr>
            <w:tcW w:w="1975" w:type="dxa"/>
            <w:tcBorders>
              <w:left w:val="single" w:sz="8" w:space="0" w:color="auto"/>
              <w:bottom w:val="single" w:sz="8" w:space="0" w:color="000000"/>
              <w:right w:val="single" w:sz="8" w:space="0" w:color="auto"/>
            </w:tcBorders>
            <w:shd w:val="clear" w:color="auto" w:fill="D9D9D9" w:themeFill="background1" w:themeFillShade="D9"/>
            <w:vAlign w:val="center"/>
          </w:tcPr>
          <w:p w14:paraId="3A2BA881" w14:textId="77777777" w:rsidR="00DF4F9E" w:rsidRPr="000113B8" w:rsidRDefault="00DF4F9E" w:rsidP="00FD5FA6">
            <w:pPr>
              <w:jc w:val="center"/>
              <w:rPr>
                <w:rFonts w:ascii="Garamond" w:hAnsi="Garamond" w:cs="Calibri"/>
                <w:b/>
                <w:bCs/>
                <w:color w:val="000000" w:themeColor="text1"/>
                <w:lang w:eastAsia="es-CO"/>
              </w:rPr>
            </w:pPr>
            <w:r w:rsidRPr="000113B8">
              <w:rPr>
                <w:rFonts w:ascii="Garamond" w:hAnsi="Garamond" w:cs="Calibri"/>
                <w:b/>
                <w:bCs/>
                <w:color w:val="000000" w:themeColor="text1"/>
                <w:lang w:eastAsia="es-CO"/>
              </w:rPr>
              <w:t>ADJUDICATARIO</w:t>
            </w:r>
          </w:p>
        </w:tc>
        <w:tc>
          <w:tcPr>
            <w:tcW w:w="6804" w:type="dxa"/>
            <w:tcBorders>
              <w:top w:val="single" w:sz="8" w:space="0" w:color="auto"/>
              <w:left w:val="nil"/>
              <w:bottom w:val="single" w:sz="8" w:space="0" w:color="auto"/>
              <w:right w:val="single" w:sz="8" w:space="0" w:color="000000"/>
            </w:tcBorders>
            <w:shd w:val="clear" w:color="000000" w:fill="FFFFFF"/>
            <w:vAlign w:val="center"/>
          </w:tcPr>
          <w:p w14:paraId="37EC2F0F" w14:textId="4381B4F3" w:rsidR="00DF4F9E" w:rsidRPr="000113B8" w:rsidRDefault="00B96BA1" w:rsidP="00FD5FA6">
            <w:pPr>
              <w:rPr>
                <w:rFonts w:ascii="Garamond" w:hAnsi="Garamond" w:cs="Calibri"/>
                <w:color w:val="000000" w:themeColor="text1"/>
                <w:lang w:eastAsia="es-CO"/>
              </w:rPr>
            </w:pPr>
            <w:r w:rsidRPr="000113B8">
              <w:rPr>
                <w:rFonts w:ascii="Garamond" w:hAnsi="Garamond" w:cs="Calibri"/>
                <w:color w:val="000000" w:themeColor="text1"/>
                <w:lang w:eastAsia="es-CO"/>
              </w:rPr>
              <w:t>ASEGURADORA SOLIDARIA DE COLOMBIA ENTIDAD COOPERATIVA.</w:t>
            </w:r>
          </w:p>
        </w:tc>
      </w:tr>
      <w:tr w:rsidR="009A7F8F" w:rsidRPr="000113B8" w14:paraId="3E9C73E2" w14:textId="77777777" w:rsidTr="00FD5FA6">
        <w:trPr>
          <w:trHeight w:val="66"/>
        </w:trPr>
        <w:tc>
          <w:tcPr>
            <w:tcW w:w="1975" w:type="dxa"/>
            <w:tcBorders>
              <w:top w:val="nil"/>
              <w:left w:val="single" w:sz="8" w:space="0" w:color="auto"/>
              <w:bottom w:val="single" w:sz="8" w:space="0" w:color="auto"/>
              <w:right w:val="single" w:sz="8" w:space="0" w:color="auto"/>
            </w:tcBorders>
            <w:shd w:val="clear" w:color="000000" w:fill="D9D9D9"/>
            <w:vAlign w:val="center"/>
          </w:tcPr>
          <w:p w14:paraId="06EC335C" w14:textId="77777777" w:rsidR="00DF4F9E" w:rsidRPr="000113B8" w:rsidRDefault="00DF4F9E" w:rsidP="00FD5FA6">
            <w:pPr>
              <w:jc w:val="center"/>
              <w:rPr>
                <w:rFonts w:ascii="Garamond" w:hAnsi="Garamond" w:cs="Calibri"/>
                <w:b/>
                <w:bCs/>
                <w:color w:val="000000" w:themeColor="text1"/>
                <w:lang w:eastAsia="es-CO"/>
              </w:rPr>
            </w:pPr>
            <w:r w:rsidRPr="000113B8">
              <w:rPr>
                <w:rFonts w:ascii="Garamond" w:hAnsi="Garamond" w:cs="Calibri"/>
                <w:b/>
                <w:bCs/>
                <w:color w:val="000000" w:themeColor="text1"/>
                <w:lang w:eastAsia="es-CO"/>
              </w:rPr>
              <w:t xml:space="preserve">ESTADO </w:t>
            </w:r>
          </w:p>
        </w:tc>
        <w:tc>
          <w:tcPr>
            <w:tcW w:w="6804" w:type="dxa"/>
            <w:tcBorders>
              <w:top w:val="single" w:sz="8" w:space="0" w:color="auto"/>
              <w:left w:val="nil"/>
              <w:bottom w:val="single" w:sz="8" w:space="0" w:color="auto"/>
              <w:right w:val="single" w:sz="8" w:space="0" w:color="000000"/>
            </w:tcBorders>
            <w:shd w:val="clear" w:color="000000" w:fill="FFFFFF"/>
            <w:vAlign w:val="center"/>
          </w:tcPr>
          <w:p w14:paraId="2E7AF883" w14:textId="797C4FC7" w:rsidR="00DF4F9E" w:rsidRPr="000113B8" w:rsidRDefault="00B96BA1" w:rsidP="00FD5FA6">
            <w:pPr>
              <w:rPr>
                <w:rFonts w:ascii="Garamond" w:hAnsi="Garamond" w:cs="Calibri"/>
                <w:color w:val="000000" w:themeColor="text1"/>
                <w:lang w:eastAsia="es-CO"/>
              </w:rPr>
            </w:pPr>
            <w:r w:rsidRPr="000113B8">
              <w:rPr>
                <w:rFonts w:ascii="Garamond" w:hAnsi="Garamond" w:cs="Calibri"/>
                <w:color w:val="000000" w:themeColor="text1"/>
                <w:lang w:eastAsia="es-CO"/>
              </w:rPr>
              <w:t>PROCESO ADJUDICADO Y CELEBRADO</w:t>
            </w:r>
          </w:p>
        </w:tc>
      </w:tr>
      <w:tr w:rsidR="009A7F8F" w:rsidRPr="000113B8" w14:paraId="21942763" w14:textId="77777777" w:rsidTr="00FD5FA6">
        <w:trPr>
          <w:trHeight w:val="66"/>
        </w:trPr>
        <w:tc>
          <w:tcPr>
            <w:tcW w:w="1975" w:type="dxa"/>
            <w:tcBorders>
              <w:top w:val="nil"/>
              <w:left w:val="single" w:sz="8" w:space="0" w:color="auto"/>
              <w:bottom w:val="single" w:sz="8" w:space="0" w:color="auto"/>
              <w:right w:val="single" w:sz="8" w:space="0" w:color="auto"/>
            </w:tcBorders>
            <w:shd w:val="clear" w:color="000000" w:fill="D9D9D9"/>
            <w:vAlign w:val="center"/>
            <w:hideMark/>
          </w:tcPr>
          <w:p w14:paraId="13168B15" w14:textId="77777777" w:rsidR="00DF4F9E" w:rsidRPr="000113B8" w:rsidRDefault="00DF4F9E" w:rsidP="00FD5FA6">
            <w:pPr>
              <w:jc w:val="center"/>
              <w:rPr>
                <w:rFonts w:ascii="Garamond" w:hAnsi="Garamond" w:cs="Calibri"/>
                <w:b/>
                <w:bCs/>
                <w:color w:val="000000" w:themeColor="text1"/>
                <w:lang w:eastAsia="es-CO"/>
              </w:rPr>
            </w:pPr>
            <w:r w:rsidRPr="000113B8">
              <w:rPr>
                <w:rFonts w:ascii="Garamond" w:hAnsi="Garamond" w:cs="Calibri"/>
                <w:b/>
                <w:bCs/>
                <w:color w:val="000000" w:themeColor="text1"/>
                <w:lang w:eastAsia="es-CO"/>
              </w:rPr>
              <w:t>CÓDIGOS UNSPSC</w:t>
            </w:r>
          </w:p>
        </w:tc>
        <w:tc>
          <w:tcPr>
            <w:tcW w:w="6804" w:type="dxa"/>
            <w:tcBorders>
              <w:top w:val="single" w:sz="8" w:space="0" w:color="auto"/>
              <w:left w:val="nil"/>
              <w:bottom w:val="single" w:sz="8" w:space="0" w:color="auto"/>
              <w:right w:val="single" w:sz="8" w:space="0" w:color="000000"/>
            </w:tcBorders>
            <w:shd w:val="clear" w:color="000000" w:fill="FFFFFF"/>
            <w:vAlign w:val="center"/>
          </w:tcPr>
          <w:p w14:paraId="66821F9A" w14:textId="77777777" w:rsidR="00B96BA1" w:rsidRPr="000113B8" w:rsidRDefault="00B96BA1" w:rsidP="00B96BA1">
            <w:pPr>
              <w:rPr>
                <w:rFonts w:ascii="Garamond" w:hAnsi="Garamond" w:cs="Arial"/>
                <w:color w:val="000000" w:themeColor="text1"/>
                <w:lang w:val="es-CO"/>
              </w:rPr>
            </w:pPr>
            <w:r w:rsidRPr="000113B8">
              <w:rPr>
                <w:rStyle w:val="vortaltextbox"/>
                <w:rFonts w:ascii="Garamond" w:hAnsi="Garamond" w:cs="Arial"/>
                <w:color w:val="000000" w:themeColor="text1"/>
              </w:rPr>
              <w:t>84131600 - Seguros de vida, salud y accidentes</w:t>
            </w:r>
          </w:p>
          <w:p w14:paraId="62E26045" w14:textId="77777777" w:rsidR="00DF4F9E" w:rsidRPr="000113B8" w:rsidRDefault="00DF4F9E" w:rsidP="00FD5FA6">
            <w:pPr>
              <w:rPr>
                <w:rFonts w:ascii="Garamond" w:hAnsi="Garamond" w:cs="Calibri"/>
                <w:color w:val="000000" w:themeColor="text1"/>
                <w:lang w:eastAsia="es-CO"/>
              </w:rPr>
            </w:pPr>
          </w:p>
        </w:tc>
      </w:tr>
      <w:tr w:rsidR="009A7F8F" w:rsidRPr="000113B8" w14:paraId="57ECCCF6" w14:textId="77777777" w:rsidTr="00FD5FA6">
        <w:trPr>
          <w:trHeight w:val="315"/>
        </w:trPr>
        <w:tc>
          <w:tcPr>
            <w:tcW w:w="1975" w:type="dxa"/>
            <w:tcBorders>
              <w:top w:val="nil"/>
              <w:left w:val="single" w:sz="8" w:space="0" w:color="auto"/>
              <w:bottom w:val="single" w:sz="8" w:space="0" w:color="auto"/>
              <w:right w:val="single" w:sz="8" w:space="0" w:color="auto"/>
            </w:tcBorders>
            <w:shd w:val="clear" w:color="000000" w:fill="D9D9D9"/>
            <w:vAlign w:val="center"/>
            <w:hideMark/>
          </w:tcPr>
          <w:p w14:paraId="4BB7BF28" w14:textId="77777777" w:rsidR="00DF4F9E" w:rsidRPr="000113B8" w:rsidRDefault="00DF4F9E" w:rsidP="00FD5FA6">
            <w:pPr>
              <w:jc w:val="center"/>
              <w:rPr>
                <w:rFonts w:ascii="Garamond" w:hAnsi="Garamond" w:cs="Calibri"/>
                <w:b/>
                <w:bCs/>
                <w:color w:val="000000" w:themeColor="text1"/>
                <w:lang w:eastAsia="es-CO"/>
              </w:rPr>
            </w:pPr>
            <w:r w:rsidRPr="000113B8">
              <w:rPr>
                <w:rFonts w:ascii="Garamond" w:hAnsi="Garamond" w:cs="Calibri"/>
                <w:b/>
                <w:bCs/>
                <w:color w:val="000000" w:themeColor="text1"/>
                <w:lang w:eastAsia="es-CO"/>
              </w:rPr>
              <w:t>CRITERIOS DIFERENCIALES</w:t>
            </w:r>
          </w:p>
        </w:tc>
        <w:tc>
          <w:tcPr>
            <w:tcW w:w="6804" w:type="dxa"/>
            <w:tcBorders>
              <w:top w:val="single" w:sz="8" w:space="0" w:color="auto"/>
              <w:left w:val="nil"/>
              <w:bottom w:val="single" w:sz="8" w:space="0" w:color="auto"/>
              <w:right w:val="single" w:sz="8" w:space="0" w:color="000000"/>
            </w:tcBorders>
            <w:shd w:val="clear" w:color="000000" w:fill="FFFFFF"/>
            <w:vAlign w:val="center"/>
          </w:tcPr>
          <w:p w14:paraId="632D323A" w14:textId="2C524F74" w:rsidR="00DF4F9E" w:rsidRPr="000113B8" w:rsidRDefault="005774A1" w:rsidP="00FD5FA6">
            <w:pPr>
              <w:rPr>
                <w:rFonts w:ascii="Garamond" w:hAnsi="Garamond" w:cs="Calibri"/>
                <w:color w:val="000000" w:themeColor="text1"/>
                <w:lang w:eastAsia="es-CO"/>
              </w:rPr>
            </w:pPr>
            <w:r w:rsidRPr="000113B8">
              <w:rPr>
                <w:rFonts w:ascii="Garamond" w:hAnsi="Garamond" w:cs="Calibri"/>
                <w:i/>
                <w:iCs/>
                <w:color w:val="000000" w:themeColor="text1"/>
                <w:lang w:eastAsia="es-CO"/>
              </w:rPr>
              <w:t>De acuerdo a lo establecido en el artículo 2.2.1.2.1.5.4 del decreto 1082 de 2015 aquellos contratos que no superen el 10% de la menor cuantía, tal es el caso del presente estarán exentos de otorgar mecanismos de coberturas del riesgo o garantías</w:t>
            </w:r>
            <w:r w:rsidRPr="000113B8">
              <w:rPr>
                <w:rFonts w:ascii="Garamond" w:hAnsi="Garamond" w:cs="Calibri"/>
                <w:color w:val="000000" w:themeColor="text1"/>
                <w:lang w:eastAsia="es-CO"/>
              </w:rPr>
              <w:t>.</w:t>
            </w:r>
          </w:p>
        </w:tc>
      </w:tr>
      <w:tr w:rsidR="009A7F8F" w:rsidRPr="000113B8" w14:paraId="25DE5D3E" w14:textId="77777777" w:rsidTr="00FD5FA6">
        <w:trPr>
          <w:trHeight w:val="633"/>
        </w:trPr>
        <w:tc>
          <w:tcPr>
            <w:tcW w:w="1975" w:type="dxa"/>
            <w:tcBorders>
              <w:top w:val="nil"/>
              <w:left w:val="single" w:sz="8" w:space="0" w:color="auto"/>
              <w:bottom w:val="single" w:sz="8" w:space="0" w:color="auto"/>
              <w:right w:val="single" w:sz="8" w:space="0" w:color="auto"/>
            </w:tcBorders>
            <w:shd w:val="clear" w:color="000000" w:fill="D9D9D9"/>
            <w:vAlign w:val="center"/>
          </w:tcPr>
          <w:p w14:paraId="327FD6CE" w14:textId="77777777" w:rsidR="00DF4F9E" w:rsidRPr="000113B8" w:rsidRDefault="00DF4F9E" w:rsidP="00FD5FA6">
            <w:pPr>
              <w:jc w:val="center"/>
              <w:rPr>
                <w:rFonts w:ascii="Garamond" w:hAnsi="Garamond" w:cs="Calibri"/>
                <w:b/>
                <w:bCs/>
                <w:color w:val="000000" w:themeColor="text1"/>
                <w:lang w:eastAsia="es-CO"/>
              </w:rPr>
            </w:pPr>
            <w:r w:rsidRPr="000113B8">
              <w:rPr>
                <w:rFonts w:ascii="Garamond" w:hAnsi="Garamond" w:cs="Calibri"/>
                <w:b/>
                <w:bCs/>
                <w:color w:val="000000" w:themeColor="text1"/>
                <w:lang w:eastAsia="es-CO"/>
              </w:rPr>
              <w:t>FOMA DE PAGO</w:t>
            </w:r>
          </w:p>
        </w:tc>
        <w:tc>
          <w:tcPr>
            <w:tcW w:w="6804" w:type="dxa"/>
            <w:tcBorders>
              <w:top w:val="single" w:sz="8" w:space="0" w:color="auto"/>
              <w:left w:val="nil"/>
              <w:bottom w:val="single" w:sz="8" w:space="0" w:color="auto"/>
              <w:right w:val="single" w:sz="8" w:space="0" w:color="000000"/>
            </w:tcBorders>
            <w:shd w:val="clear" w:color="000000" w:fill="FFFFFF"/>
            <w:vAlign w:val="center"/>
          </w:tcPr>
          <w:p w14:paraId="6D6063B7" w14:textId="24285343" w:rsidR="00DF4F9E" w:rsidRPr="000113B8" w:rsidRDefault="005774A1" w:rsidP="00FD5FA6">
            <w:pPr>
              <w:jc w:val="both"/>
              <w:rPr>
                <w:rFonts w:ascii="Garamond" w:hAnsi="Garamond" w:cs="Calibri"/>
                <w:i/>
                <w:iCs/>
                <w:color w:val="000000" w:themeColor="text1"/>
                <w:lang w:eastAsia="es-CO"/>
              </w:rPr>
            </w:pPr>
            <w:r w:rsidRPr="000113B8">
              <w:rPr>
                <w:rFonts w:ascii="Garamond" w:hAnsi="Garamond" w:cs="Calibri"/>
                <w:i/>
                <w:iCs/>
                <w:color w:val="000000" w:themeColor="text1"/>
                <w:lang w:eastAsia="es-CO"/>
              </w:rPr>
              <w:t>El Municipio cancelará el valor del contrato de contado una vez cumplido el objeto, previa certificación emitida por la Secretaría de Gobierno Municipal en donde conste que el objeto contractual se cumplió a satisfacción</w:t>
            </w:r>
          </w:p>
        </w:tc>
      </w:tr>
      <w:tr w:rsidR="00DF4F9E" w:rsidRPr="000113B8" w14:paraId="01465E7A" w14:textId="77777777" w:rsidTr="00FD5FA6">
        <w:trPr>
          <w:trHeight w:val="207"/>
        </w:trPr>
        <w:tc>
          <w:tcPr>
            <w:tcW w:w="1975" w:type="dxa"/>
            <w:tcBorders>
              <w:top w:val="nil"/>
              <w:left w:val="single" w:sz="8" w:space="0" w:color="auto"/>
              <w:bottom w:val="single" w:sz="8" w:space="0" w:color="auto"/>
              <w:right w:val="single" w:sz="8" w:space="0" w:color="auto"/>
            </w:tcBorders>
            <w:shd w:val="clear" w:color="000000" w:fill="D9D9D9"/>
            <w:vAlign w:val="center"/>
          </w:tcPr>
          <w:p w14:paraId="5EABCD71" w14:textId="77777777" w:rsidR="00DF4F9E" w:rsidRPr="000113B8" w:rsidRDefault="00DF4F9E" w:rsidP="00FD5FA6">
            <w:pPr>
              <w:jc w:val="center"/>
              <w:rPr>
                <w:rFonts w:ascii="Garamond" w:hAnsi="Garamond" w:cs="Calibri"/>
                <w:b/>
                <w:bCs/>
                <w:color w:val="000000" w:themeColor="text1"/>
                <w:lang w:eastAsia="es-CO"/>
              </w:rPr>
            </w:pPr>
            <w:r w:rsidRPr="000113B8">
              <w:rPr>
                <w:rFonts w:ascii="Garamond" w:hAnsi="Garamond" w:cs="Calibri"/>
                <w:b/>
                <w:bCs/>
                <w:color w:val="000000" w:themeColor="text1"/>
                <w:lang w:eastAsia="es-CO"/>
              </w:rPr>
              <w:t>ENLACE DEL SECOP</w:t>
            </w:r>
          </w:p>
        </w:tc>
        <w:tc>
          <w:tcPr>
            <w:tcW w:w="6804" w:type="dxa"/>
            <w:tcBorders>
              <w:top w:val="single" w:sz="8" w:space="0" w:color="auto"/>
              <w:left w:val="nil"/>
              <w:bottom w:val="single" w:sz="8" w:space="0" w:color="auto"/>
              <w:right w:val="single" w:sz="8" w:space="0" w:color="000000"/>
            </w:tcBorders>
            <w:shd w:val="clear" w:color="000000" w:fill="FFFFFF"/>
            <w:vAlign w:val="center"/>
          </w:tcPr>
          <w:p w14:paraId="7FF5518C" w14:textId="6EF0DBB8" w:rsidR="00DF4F9E" w:rsidRPr="000113B8" w:rsidRDefault="005774A1" w:rsidP="00FD5FA6">
            <w:pPr>
              <w:rPr>
                <w:rFonts w:ascii="Garamond" w:hAnsi="Garamond" w:cs="Calibri"/>
                <w:color w:val="000000" w:themeColor="text1"/>
                <w:u w:val="single"/>
                <w:lang w:eastAsia="es-CO"/>
              </w:rPr>
            </w:pPr>
            <w:hyperlink r:id="rId55" w:history="1">
              <w:r w:rsidRPr="000113B8">
                <w:rPr>
                  <w:rStyle w:val="Hipervnculo"/>
                  <w:rFonts w:ascii="Garamond" w:hAnsi="Garamond" w:cs="Calibri"/>
                  <w:color w:val="000000" w:themeColor="text1"/>
                  <w:lang w:eastAsia="es-CO"/>
                </w:rPr>
                <w:t>https://community.secop.gov.co/Public/Tendering/OpportunityDetail/Index?noticeUID=CO1.NTC.7158078&amp;isFromPublicArea=True&amp;isModal=Fals</w:t>
              </w:r>
            </w:hyperlink>
          </w:p>
        </w:tc>
      </w:tr>
    </w:tbl>
    <w:p w14:paraId="2E76ECD7" w14:textId="77777777" w:rsidR="00DF4F9E" w:rsidRPr="000113B8" w:rsidRDefault="00DF4F9E" w:rsidP="00A54369">
      <w:pPr>
        <w:pStyle w:val="Default"/>
        <w:jc w:val="both"/>
        <w:rPr>
          <w:rFonts w:ascii="Garamond" w:hAnsi="Garamond"/>
          <w:b/>
          <w:color w:val="000000" w:themeColor="text1"/>
          <w:sz w:val="22"/>
          <w:szCs w:val="22"/>
        </w:rPr>
      </w:pPr>
    </w:p>
    <w:tbl>
      <w:tblPr>
        <w:tblW w:w="0" w:type="auto"/>
        <w:tblLayout w:type="fixed"/>
        <w:tblCellMar>
          <w:left w:w="70" w:type="dxa"/>
          <w:right w:w="70" w:type="dxa"/>
        </w:tblCellMar>
        <w:tblLook w:val="04A0" w:firstRow="1" w:lastRow="0" w:firstColumn="1" w:lastColumn="0" w:noHBand="0" w:noVBand="1"/>
      </w:tblPr>
      <w:tblGrid>
        <w:gridCol w:w="1975"/>
        <w:gridCol w:w="6804"/>
      </w:tblGrid>
      <w:tr w:rsidR="009A7F8F" w:rsidRPr="000113B8" w14:paraId="76A8FCC8" w14:textId="77777777" w:rsidTr="00FD5FA6">
        <w:trPr>
          <w:trHeight w:val="375"/>
        </w:trPr>
        <w:tc>
          <w:tcPr>
            <w:tcW w:w="1975" w:type="dxa"/>
            <w:tcBorders>
              <w:top w:val="single" w:sz="8" w:space="0" w:color="auto"/>
              <w:left w:val="single" w:sz="8" w:space="0" w:color="auto"/>
              <w:bottom w:val="single" w:sz="8" w:space="0" w:color="auto"/>
              <w:right w:val="single" w:sz="8" w:space="0" w:color="000000"/>
            </w:tcBorders>
            <w:shd w:val="clear" w:color="000000" w:fill="D9D9D9"/>
            <w:vAlign w:val="center"/>
            <w:hideMark/>
          </w:tcPr>
          <w:p w14:paraId="2B281F59" w14:textId="77777777" w:rsidR="00DF4F9E" w:rsidRPr="000113B8" w:rsidRDefault="00DF4F9E" w:rsidP="00FD5FA6">
            <w:pPr>
              <w:jc w:val="center"/>
              <w:rPr>
                <w:rFonts w:ascii="Garamond" w:hAnsi="Garamond" w:cs="Calibri"/>
                <w:b/>
                <w:bCs/>
                <w:color w:val="000000" w:themeColor="text1"/>
                <w:lang w:eastAsia="es-CO"/>
              </w:rPr>
            </w:pPr>
            <w:r w:rsidRPr="000113B8">
              <w:rPr>
                <w:rFonts w:ascii="Garamond" w:hAnsi="Garamond" w:cs="Calibri"/>
                <w:b/>
                <w:bCs/>
                <w:color w:val="000000" w:themeColor="text1"/>
                <w:lang w:eastAsia="es-CO"/>
              </w:rPr>
              <w:t>ENTIDAD</w:t>
            </w:r>
          </w:p>
        </w:tc>
        <w:tc>
          <w:tcPr>
            <w:tcW w:w="6804" w:type="dxa"/>
            <w:tcBorders>
              <w:top w:val="single" w:sz="8" w:space="0" w:color="auto"/>
              <w:left w:val="nil"/>
              <w:bottom w:val="single" w:sz="8" w:space="0" w:color="auto"/>
              <w:right w:val="single" w:sz="8" w:space="0" w:color="auto"/>
            </w:tcBorders>
            <w:vAlign w:val="center"/>
          </w:tcPr>
          <w:p w14:paraId="3D4762E0" w14:textId="601CD997" w:rsidR="00DF4F9E" w:rsidRPr="000113B8" w:rsidRDefault="005774A1" w:rsidP="00FD5FA6">
            <w:pPr>
              <w:rPr>
                <w:rFonts w:ascii="Garamond" w:hAnsi="Garamond" w:cs="Calibri"/>
                <w:b/>
                <w:bCs/>
                <w:color w:val="000000" w:themeColor="text1"/>
                <w:lang w:eastAsia="es-CO"/>
              </w:rPr>
            </w:pPr>
            <w:r w:rsidRPr="000113B8">
              <w:rPr>
                <w:rFonts w:ascii="Garamond" w:hAnsi="Garamond" w:cs="Calibri"/>
                <w:b/>
                <w:bCs/>
                <w:color w:val="000000" w:themeColor="text1"/>
                <w:lang w:eastAsia="es-CO"/>
              </w:rPr>
              <w:t>FONDO DE DESARROLLO LOCAL DE LA CANDELARIA</w:t>
            </w:r>
          </w:p>
        </w:tc>
      </w:tr>
      <w:tr w:rsidR="009A7F8F" w:rsidRPr="000113B8" w14:paraId="17FC43D0" w14:textId="77777777" w:rsidTr="00FD5FA6">
        <w:trPr>
          <w:trHeight w:val="315"/>
        </w:trPr>
        <w:tc>
          <w:tcPr>
            <w:tcW w:w="1975" w:type="dxa"/>
            <w:tcBorders>
              <w:top w:val="single" w:sz="8" w:space="0" w:color="auto"/>
              <w:left w:val="single" w:sz="8" w:space="0" w:color="auto"/>
              <w:bottom w:val="single" w:sz="8" w:space="0" w:color="auto"/>
              <w:right w:val="single" w:sz="8" w:space="0" w:color="000000"/>
            </w:tcBorders>
            <w:shd w:val="clear" w:color="000000" w:fill="D9D9D9"/>
            <w:vAlign w:val="center"/>
            <w:hideMark/>
          </w:tcPr>
          <w:p w14:paraId="4BF67F3D" w14:textId="77777777" w:rsidR="00DF4F9E" w:rsidRPr="000113B8" w:rsidRDefault="00DF4F9E" w:rsidP="00FD5FA6">
            <w:pPr>
              <w:jc w:val="center"/>
              <w:rPr>
                <w:rFonts w:ascii="Garamond" w:hAnsi="Garamond" w:cs="Calibri"/>
                <w:b/>
                <w:bCs/>
                <w:color w:val="000000" w:themeColor="text1"/>
                <w:lang w:eastAsia="es-CO"/>
              </w:rPr>
            </w:pPr>
            <w:r w:rsidRPr="000113B8">
              <w:rPr>
                <w:rFonts w:ascii="Garamond" w:hAnsi="Garamond" w:cs="Calibri"/>
                <w:b/>
                <w:bCs/>
                <w:color w:val="000000" w:themeColor="text1"/>
                <w:lang w:eastAsia="es-CO"/>
              </w:rPr>
              <w:t>REFERENCIA DEL PROCESO</w:t>
            </w:r>
          </w:p>
        </w:tc>
        <w:tc>
          <w:tcPr>
            <w:tcW w:w="6804" w:type="dxa"/>
            <w:tcBorders>
              <w:top w:val="nil"/>
              <w:left w:val="nil"/>
              <w:bottom w:val="single" w:sz="8" w:space="0" w:color="auto"/>
              <w:right w:val="single" w:sz="8" w:space="0" w:color="auto"/>
            </w:tcBorders>
            <w:noWrap/>
            <w:vAlign w:val="center"/>
          </w:tcPr>
          <w:p w14:paraId="4A7C274B" w14:textId="70262AF5" w:rsidR="00DF4F9E" w:rsidRPr="000113B8" w:rsidRDefault="005774A1" w:rsidP="00FD5FA6">
            <w:pPr>
              <w:rPr>
                <w:rFonts w:ascii="Garamond" w:hAnsi="Garamond" w:cs="Arial"/>
                <w:color w:val="000000" w:themeColor="text1"/>
                <w:lang w:eastAsia="es-CO"/>
              </w:rPr>
            </w:pPr>
            <w:r w:rsidRPr="000113B8">
              <w:rPr>
                <w:rFonts w:ascii="Garamond" w:hAnsi="Garamond" w:cs="Arial"/>
                <w:color w:val="000000" w:themeColor="text1"/>
                <w:lang w:eastAsia="es-CO"/>
              </w:rPr>
              <w:t>FDLC-IMC-014-2024</w:t>
            </w:r>
          </w:p>
        </w:tc>
      </w:tr>
      <w:tr w:rsidR="009A7F8F" w:rsidRPr="000113B8" w14:paraId="2DB8EAB2" w14:textId="77777777" w:rsidTr="00FD5FA6">
        <w:trPr>
          <w:trHeight w:val="387"/>
        </w:trPr>
        <w:tc>
          <w:tcPr>
            <w:tcW w:w="1975" w:type="dxa"/>
            <w:tcBorders>
              <w:top w:val="single" w:sz="8" w:space="0" w:color="auto"/>
              <w:left w:val="single" w:sz="8" w:space="0" w:color="auto"/>
              <w:bottom w:val="single" w:sz="8" w:space="0" w:color="000000"/>
              <w:right w:val="single" w:sz="8" w:space="0" w:color="000000"/>
            </w:tcBorders>
            <w:shd w:val="clear" w:color="000000" w:fill="D9D9D9"/>
            <w:vAlign w:val="center"/>
            <w:hideMark/>
          </w:tcPr>
          <w:p w14:paraId="43C234B1" w14:textId="77777777" w:rsidR="00DF4F9E" w:rsidRPr="000113B8" w:rsidRDefault="00DF4F9E" w:rsidP="00FD5FA6">
            <w:pPr>
              <w:jc w:val="center"/>
              <w:rPr>
                <w:rFonts w:ascii="Garamond" w:hAnsi="Garamond" w:cs="Calibri"/>
                <w:b/>
                <w:bCs/>
                <w:color w:val="000000" w:themeColor="text1"/>
                <w:lang w:eastAsia="es-CO"/>
              </w:rPr>
            </w:pPr>
            <w:r w:rsidRPr="000113B8">
              <w:rPr>
                <w:rFonts w:ascii="Garamond" w:hAnsi="Garamond" w:cs="Calibri"/>
                <w:b/>
                <w:bCs/>
                <w:color w:val="000000" w:themeColor="text1"/>
                <w:lang w:eastAsia="es-CO"/>
              </w:rPr>
              <w:t>OBJETO</w:t>
            </w:r>
          </w:p>
        </w:tc>
        <w:tc>
          <w:tcPr>
            <w:tcW w:w="6804" w:type="dxa"/>
            <w:tcBorders>
              <w:top w:val="nil"/>
              <w:left w:val="nil"/>
              <w:bottom w:val="single" w:sz="8" w:space="0" w:color="000000"/>
              <w:right w:val="single" w:sz="8" w:space="0" w:color="auto"/>
            </w:tcBorders>
            <w:vAlign w:val="center"/>
          </w:tcPr>
          <w:p w14:paraId="0C6C31A3" w14:textId="6873D3F4" w:rsidR="00DF4F9E" w:rsidRPr="000113B8" w:rsidRDefault="005774A1" w:rsidP="00FD5FA6">
            <w:pPr>
              <w:rPr>
                <w:rFonts w:ascii="Garamond" w:hAnsi="Garamond" w:cs="Calibri"/>
                <w:color w:val="000000" w:themeColor="text1"/>
                <w:lang w:eastAsia="es-CO"/>
              </w:rPr>
            </w:pPr>
            <w:r w:rsidRPr="000113B8">
              <w:rPr>
                <w:rFonts w:ascii="Garamond" w:hAnsi="Garamond" w:cs="Calibri"/>
                <w:color w:val="000000" w:themeColor="text1"/>
                <w:lang w:eastAsia="es-CO"/>
              </w:rPr>
              <w:t xml:space="preserve">CONTRATAR UNA PÓLIZA COLECTIVA DE SEGURO DE VIDA PARA LOS EDILES DE LA JUNTA ADMINISTRADORA DE LA </w:t>
            </w:r>
            <w:r w:rsidRPr="000113B8">
              <w:rPr>
                <w:rFonts w:ascii="Garamond" w:hAnsi="Garamond" w:cs="Calibri"/>
                <w:color w:val="000000" w:themeColor="text1"/>
                <w:lang w:eastAsia="es-CO"/>
              </w:rPr>
              <w:lastRenderedPageBreak/>
              <w:t>LOCALIDAD DE LA CANDELARIA</w:t>
            </w:r>
          </w:p>
        </w:tc>
      </w:tr>
      <w:tr w:rsidR="009A7F8F" w:rsidRPr="000113B8" w14:paraId="65729FF2" w14:textId="77777777" w:rsidTr="00FD5FA6">
        <w:trPr>
          <w:trHeight w:val="507"/>
        </w:trPr>
        <w:tc>
          <w:tcPr>
            <w:tcW w:w="1975" w:type="dxa"/>
            <w:tcBorders>
              <w:top w:val="single" w:sz="8" w:space="0" w:color="auto"/>
              <w:left w:val="single" w:sz="8" w:space="0" w:color="auto"/>
              <w:bottom w:val="single" w:sz="8" w:space="0" w:color="000000"/>
              <w:right w:val="single" w:sz="8" w:space="0" w:color="000000"/>
            </w:tcBorders>
            <w:shd w:val="clear" w:color="000000" w:fill="D9D9D9"/>
            <w:vAlign w:val="center"/>
          </w:tcPr>
          <w:p w14:paraId="2A107626" w14:textId="77777777" w:rsidR="00DF4F9E" w:rsidRPr="000113B8" w:rsidRDefault="00DF4F9E" w:rsidP="00FD5FA6">
            <w:pPr>
              <w:jc w:val="center"/>
              <w:rPr>
                <w:rFonts w:ascii="Garamond" w:hAnsi="Garamond" w:cs="Calibri"/>
                <w:b/>
                <w:bCs/>
                <w:color w:val="000000" w:themeColor="text1"/>
                <w:lang w:eastAsia="es-CO"/>
              </w:rPr>
            </w:pPr>
            <w:r w:rsidRPr="000113B8">
              <w:rPr>
                <w:rFonts w:ascii="Garamond" w:hAnsi="Garamond" w:cs="Calibri"/>
                <w:b/>
                <w:bCs/>
                <w:color w:val="000000" w:themeColor="text1"/>
                <w:lang w:eastAsia="es-CO"/>
              </w:rPr>
              <w:lastRenderedPageBreak/>
              <w:t>PLAZO ESTIMADO DE EJECUCIÓN</w:t>
            </w:r>
          </w:p>
        </w:tc>
        <w:tc>
          <w:tcPr>
            <w:tcW w:w="6804" w:type="dxa"/>
            <w:tcBorders>
              <w:top w:val="nil"/>
              <w:left w:val="nil"/>
              <w:bottom w:val="single" w:sz="8" w:space="0" w:color="000000"/>
              <w:right w:val="single" w:sz="8" w:space="0" w:color="auto"/>
            </w:tcBorders>
            <w:vAlign w:val="center"/>
          </w:tcPr>
          <w:p w14:paraId="54914E38" w14:textId="3351366C" w:rsidR="00DF4F9E" w:rsidRPr="000113B8" w:rsidRDefault="005774A1" w:rsidP="00FD5FA6">
            <w:pPr>
              <w:rPr>
                <w:rFonts w:ascii="Garamond" w:hAnsi="Garamond" w:cs="Calibri"/>
                <w:color w:val="000000" w:themeColor="text1"/>
                <w:lang w:eastAsia="es-CO"/>
              </w:rPr>
            </w:pPr>
            <w:r w:rsidRPr="000113B8">
              <w:rPr>
                <w:rFonts w:ascii="Garamond" w:hAnsi="Garamond" w:cs="Calibri"/>
                <w:color w:val="000000" w:themeColor="text1"/>
                <w:lang w:eastAsia="es-CO"/>
              </w:rPr>
              <w:t>492 (Días)</w:t>
            </w:r>
          </w:p>
        </w:tc>
      </w:tr>
      <w:tr w:rsidR="009A7F8F" w:rsidRPr="000113B8" w14:paraId="31B90881" w14:textId="77777777" w:rsidTr="00FD5FA6">
        <w:trPr>
          <w:trHeight w:val="389"/>
        </w:trPr>
        <w:tc>
          <w:tcPr>
            <w:tcW w:w="1975" w:type="dxa"/>
            <w:tcBorders>
              <w:top w:val="single" w:sz="8" w:space="0" w:color="auto"/>
              <w:left w:val="single" w:sz="8" w:space="0" w:color="auto"/>
              <w:bottom w:val="single" w:sz="8" w:space="0" w:color="000000"/>
              <w:right w:val="single" w:sz="8" w:space="0" w:color="000000"/>
            </w:tcBorders>
            <w:shd w:val="clear" w:color="000000" w:fill="D9D9D9"/>
            <w:vAlign w:val="center"/>
          </w:tcPr>
          <w:p w14:paraId="796EEC70" w14:textId="77777777" w:rsidR="00DF4F9E" w:rsidRPr="000113B8" w:rsidRDefault="00DF4F9E" w:rsidP="00FD5FA6">
            <w:pPr>
              <w:jc w:val="center"/>
              <w:rPr>
                <w:rFonts w:ascii="Garamond" w:hAnsi="Garamond" w:cs="Calibri"/>
                <w:b/>
                <w:bCs/>
                <w:color w:val="000000" w:themeColor="text1"/>
                <w:lang w:eastAsia="es-CO"/>
              </w:rPr>
            </w:pPr>
            <w:r w:rsidRPr="000113B8">
              <w:rPr>
                <w:rFonts w:ascii="Garamond" w:hAnsi="Garamond" w:cs="Calibri"/>
                <w:b/>
                <w:bCs/>
                <w:color w:val="000000" w:themeColor="text1"/>
                <w:lang w:eastAsia="es-CO"/>
              </w:rPr>
              <w:t>MODALIDAD DE SELECCIÓN</w:t>
            </w:r>
          </w:p>
        </w:tc>
        <w:tc>
          <w:tcPr>
            <w:tcW w:w="6804" w:type="dxa"/>
            <w:tcBorders>
              <w:top w:val="nil"/>
              <w:left w:val="nil"/>
              <w:bottom w:val="single" w:sz="8" w:space="0" w:color="000000"/>
              <w:right w:val="single" w:sz="8" w:space="0" w:color="auto"/>
            </w:tcBorders>
            <w:vAlign w:val="center"/>
          </w:tcPr>
          <w:p w14:paraId="2F71899D" w14:textId="661BB595" w:rsidR="00DF4F9E" w:rsidRPr="000113B8" w:rsidRDefault="005774A1" w:rsidP="00FD5FA6">
            <w:pPr>
              <w:rPr>
                <w:rFonts w:ascii="Garamond" w:hAnsi="Garamond" w:cs="Calibri"/>
                <w:color w:val="000000" w:themeColor="text1"/>
                <w:lang w:eastAsia="es-CO"/>
              </w:rPr>
            </w:pPr>
            <w:r w:rsidRPr="000113B8">
              <w:rPr>
                <w:rFonts w:ascii="Garamond" w:hAnsi="Garamond" w:cs="Calibri"/>
                <w:color w:val="000000" w:themeColor="text1"/>
                <w:lang w:eastAsia="es-CO"/>
              </w:rPr>
              <w:t>MÍNIMA CUANTÍA</w:t>
            </w:r>
          </w:p>
        </w:tc>
      </w:tr>
      <w:tr w:rsidR="009A7F8F" w:rsidRPr="000113B8" w14:paraId="1F27297E" w14:textId="77777777" w:rsidTr="00FD5FA6">
        <w:trPr>
          <w:trHeight w:val="315"/>
        </w:trPr>
        <w:tc>
          <w:tcPr>
            <w:tcW w:w="1975" w:type="dxa"/>
            <w:tcBorders>
              <w:top w:val="nil"/>
              <w:left w:val="single" w:sz="8" w:space="0" w:color="auto"/>
              <w:bottom w:val="single" w:sz="8" w:space="0" w:color="auto"/>
              <w:right w:val="single" w:sz="8" w:space="0" w:color="auto"/>
            </w:tcBorders>
            <w:shd w:val="clear" w:color="000000" w:fill="D9D9D9"/>
            <w:vAlign w:val="center"/>
            <w:hideMark/>
          </w:tcPr>
          <w:p w14:paraId="228806BF" w14:textId="77777777" w:rsidR="00DF4F9E" w:rsidRPr="000113B8" w:rsidRDefault="00DF4F9E" w:rsidP="00FD5FA6">
            <w:pPr>
              <w:jc w:val="center"/>
              <w:rPr>
                <w:rFonts w:ascii="Garamond" w:hAnsi="Garamond" w:cs="Calibri"/>
                <w:b/>
                <w:bCs/>
                <w:color w:val="000000" w:themeColor="text1"/>
                <w:lang w:eastAsia="es-CO"/>
              </w:rPr>
            </w:pPr>
            <w:r w:rsidRPr="000113B8">
              <w:rPr>
                <w:rFonts w:ascii="Garamond" w:hAnsi="Garamond" w:cs="Calibri"/>
                <w:b/>
                <w:bCs/>
                <w:color w:val="000000" w:themeColor="text1"/>
                <w:lang w:eastAsia="es-CO"/>
              </w:rPr>
              <w:t>PRESUPUESTO</w:t>
            </w:r>
          </w:p>
        </w:tc>
        <w:tc>
          <w:tcPr>
            <w:tcW w:w="6804" w:type="dxa"/>
            <w:tcBorders>
              <w:top w:val="single" w:sz="8" w:space="0" w:color="000000"/>
              <w:left w:val="nil"/>
              <w:bottom w:val="single" w:sz="8" w:space="0" w:color="auto"/>
              <w:right w:val="single" w:sz="8" w:space="0" w:color="000000"/>
            </w:tcBorders>
            <w:vAlign w:val="center"/>
          </w:tcPr>
          <w:p w14:paraId="5777849C" w14:textId="2431DF42" w:rsidR="00DF4F9E" w:rsidRPr="000113B8" w:rsidRDefault="005774A1" w:rsidP="00FD5FA6">
            <w:pPr>
              <w:rPr>
                <w:rFonts w:ascii="Garamond" w:hAnsi="Garamond" w:cs="Calibri"/>
                <w:color w:val="000000" w:themeColor="text1"/>
                <w:lang w:eastAsia="es-CO"/>
              </w:rPr>
            </w:pPr>
            <w:r w:rsidRPr="000113B8">
              <w:rPr>
                <w:rFonts w:ascii="Garamond" w:hAnsi="Garamond" w:cs="Calibri"/>
                <w:color w:val="000000" w:themeColor="text1"/>
                <w:lang w:eastAsia="es-CO"/>
              </w:rPr>
              <w:t>$11.397.357</w:t>
            </w:r>
          </w:p>
        </w:tc>
      </w:tr>
      <w:tr w:rsidR="009A7F8F" w:rsidRPr="000113B8" w14:paraId="2B477E93" w14:textId="77777777" w:rsidTr="00FD5FA6">
        <w:trPr>
          <w:trHeight w:val="375"/>
        </w:trPr>
        <w:tc>
          <w:tcPr>
            <w:tcW w:w="1975" w:type="dxa"/>
            <w:tcBorders>
              <w:top w:val="nil"/>
              <w:left w:val="single" w:sz="8" w:space="0" w:color="auto"/>
              <w:bottom w:val="single" w:sz="8" w:space="0" w:color="auto"/>
              <w:right w:val="single" w:sz="8" w:space="0" w:color="auto"/>
            </w:tcBorders>
            <w:shd w:val="clear" w:color="000000" w:fill="D9D9D9"/>
            <w:vAlign w:val="center"/>
            <w:hideMark/>
          </w:tcPr>
          <w:p w14:paraId="3C6F91ED" w14:textId="77777777" w:rsidR="00DF4F9E" w:rsidRPr="000113B8" w:rsidRDefault="00DF4F9E" w:rsidP="00FD5FA6">
            <w:pPr>
              <w:jc w:val="center"/>
              <w:rPr>
                <w:rFonts w:ascii="Garamond" w:hAnsi="Garamond" w:cs="Calibri"/>
                <w:b/>
                <w:bCs/>
                <w:color w:val="000000" w:themeColor="text1"/>
                <w:lang w:eastAsia="es-CO"/>
              </w:rPr>
            </w:pPr>
            <w:r w:rsidRPr="000113B8">
              <w:rPr>
                <w:rFonts w:ascii="Garamond" w:hAnsi="Garamond" w:cs="Calibri"/>
                <w:b/>
                <w:bCs/>
                <w:color w:val="000000" w:themeColor="text1"/>
                <w:lang w:eastAsia="es-CO"/>
              </w:rPr>
              <w:t>OFERENTES QUE PARITICIPARON</w:t>
            </w:r>
          </w:p>
        </w:tc>
        <w:tc>
          <w:tcPr>
            <w:tcW w:w="6804" w:type="dxa"/>
            <w:tcBorders>
              <w:top w:val="single" w:sz="8" w:space="0" w:color="auto"/>
              <w:left w:val="nil"/>
              <w:bottom w:val="single" w:sz="8" w:space="0" w:color="auto"/>
              <w:right w:val="single" w:sz="8" w:space="0" w:color="000000"/>
            </w:tcBorders>
            <w:vAlign w:val="center"/>
          </w:tcPr>
          <w:p w14:paraId="739010E4" w14:textId="77777777" w:rsidR="00DF4F9E" w:rsidRPr="000113B8" w:rsidRDefault="005774A1" w:rsidP="00FD5FA6">
            <w:pPr>
              <w:rPr>
                <w:rFonts w:ascii="Garamond" w:hAnsi="Garamond" w:cs="Calibri"/>
                <w:color w:val="000000" w:themeColor="text1"/>
                <w:lang w:eastAsia="es-CO"/>
              </w:rPr>
            </w:pPr>
            <w:r w:rsidRPr="000113B8">
              <w:rPr>
                <w:rFonts w:ascii="Garamond" w:hAnsi="Garamond" w:cs="Calibri"/>
                <w:color w:val="000000" w:themeColor="text1"/>
                <w:lang w:eastAsia="es-CO"/>
              </w:rPr>
              <w:t>SEGUROS MUNDIAL S.A.</w:t>
            </w:r>
          </w:p>
          <w:p w14:paraId="1F3E120F" w14:textId="152FBCB4" w:rsidR="005774A1" w:rsidRPr="000113B8" w:rsidRDefault="005774A1" w:rsidP="00FD5FA6">
            <w:pPr>
              <w:rPr>
                <w:rFonts w:ascii="Garamond" w:hAnsi="Garamond" w:cs="Calibri"/>
                <w:color w:val="000000" w:themeColor="text1"/>
                <w:lang w:eastAsia="es-CO"/>
              </w:rPr>
            </w:pPr>
            <w:r w:rsidRPr="000113B8">
              <w:rPr>
                <w:rFonts w:ascii="Garamond" w:hAnsi="Garamond" w:cs="Calibri"/>
                <w:color w:val="000000" w:themeColor="text1"/>
                <w:lang w:eastAsia="es-CO"/>
              </w:rPr>
              <w:t>COMPAÑÍA DE SEGUROS DE VIDA AURORA S.A</w:t>
            </w:r>
          </w:p>
        </w:tc>
      </w:tr>
      <w:tr w:rsidR="009A7F8F" w:rsidRPr="000113B8" w14:paraId="6411B8C3" w14:textId="77777777" w:rsidTr="00FD5FA6">
        <w:trPr>
          <w:trHeight w:val="66"/>
        </w:trPr>
        <w:tc>
          <w:tcPr>
            <w:tcW w:w="1975" w:type="dxa"/>
            <w:tcBorders>
              <w:left w:val="single" w:sz="8" w:space="0" w:color="auto"/>
              <w:bottom w:val="single" w:sz="8" w:space="0" w:color="000000"/>
              <w:right w:val="single" w:sz="8" w:space="0" w:color="auto"/>
            </w:tcBorders>
            <w:shd w:val="clear" w:color="auto" w:fill="D9D9D9" w:themeFill="background1" w:themeFillShade="D9"/>
            <w:vAlign w:val="center"/>
          </w:tcPr>
          <w:p w14:paraId="70CF9EEC" w14:textId="77777777" w:rsidR="00DF4F9E" w:rsidRPr="000113B8" w:rsidRDefault="00DF4F9E" w:rsidP="00FD5FA6">
            <w:pPr>
              <w:jc w:val="center"/>
              <w:rPr>
                <w:rFonts w:ascii="Garamond" w:hAnsi="Garamond" w:cs="Calibri"/>
                <w:b/>
                <w:bCs/>
                <w:color w:val="000000" w:themeColor="text1"/>
                <w:lang w:eastAsia="es-CO"/>
              </w:rPr>
            </w:pPr>
            <w:r w:rsidRPr="000113B8">
              <w:rPr>
                <w:rFonts w:ascii="Garamond" w:hAnsi="Garamond" w:cs="Calibri"/>
                <w:b/>
                <w:bCs/>
                <w:color w:val="000000" w:themeColor="text1"/>
                <w:lang w:eastAsia="es-CO"/>
              </w:rPr>
              <w:t>ADJUDICATARIO</w:t>
            </w:r>
          </w:p>
        </w:tc>
        <w:tc>
          <w:tcPr>
            <w:tcW w:w="6804" w:type="dxa"/>
            <w:tcBorders>
              <w:top w:val="single" w:sz="8" w:space="0" w:color="auto"/>
              <w:left w:val="nil"/>
              <w:bottom w:val="single" w:sz="8" w:space="0" w:color="auto"/>
              <w:right w:val="single" w:sz="8" w:space="0" w:color="000000"/>
            </w:tcBorders>
            <w:shd w:val="clear" w:color="000000" w:fill="FFFFFF"/>
            <w:vAlign w:val="center"/>
          </w:tcPr>
          <w:p w14:paraId="6810B58C" w14:textId="62436EC8" w:rsidR="00DF4F9E" w:rsidRPr="000113B8" w:rsidRDefault="005774A1" w:rsidP="00FD5FA6">
            <w:pPr>
              <w:rPr>
                <w:rFonts w:ascii="Garamond" w:hAnsi="Garamond" w:cs="Calibri"/>
                <w:color w:val="000000" w:themeColor="text1"/>
                <w:lang w:eastAsia="es-CO"/>
              </w:rPr>
            </w:pPr>
            <w:r w:rsidRPr="000113B8">
              <w:rPr>
                <w:rFonts w:ascii="Garamond" w:hAnsi="Garamond" w:cs="Calibri"/>
                <w:color w:val="000000" w:themeColor="text1"/>
                <w:lang w:eastAsia="es-CO"/>
              </w:rPr>
              <w:t>SEGUROS MUNDIAL S.A.</w:t>
            </w:r>
          </w:p>
        </w:tc>
      </w:tr>
      <w:tr w:rsidR="009A7F8F" w:rsidRPr="000113B8" w14:paraId="55849EFD" w14:textId="77777777" w:rsidTr="00FD5FA6">
        <w:trPr>
          <w:trHeight w:val="66"/>
        </w:trPr>
        <w:tc>
          <w:tcPr>
            <w:tcW w:w="1975" w:type="dxa"/>
            <w:tcBorders>
              <w:top w:val="nil"/>
              <w:left w:val="single" w:sz="8" w:space="0" w:color="auto"/>
              <w:bottom w:val="single" w:sz="8" w:space="0" w:color="auto"/>
              <w:right w:val="single" w:sz="8" w:space="0" w:color="auto"/>
            </w:tcBorders>
            <w:shd w:val="clear" w:color="000000" w:fill="D9D9D9"/>
            <w:vAlign w:val="center"/>
          </w:tcPr>
          <w:p w14:paraId="16EA092D" w14:textId="77777777" w:rsidR="00DF4F9E" w:rsidRPr="000113B8" w:rsidRDefault="00DF4F9E" w:rsidP="00FD5FA6">
            <w:pPr>
              <w:jc w:val="center"/>
              <w:rPr>
                <w:rFonts w:ascii="Garamond" w:hAnsi="Garamond" w:cs="Calibri"/>
                <w:b/>
                <w:bCs/>
                <w:color w:val="000000" w:themeColor="text1"/>
                <w:lang w:eastAsia="es-CO"/>
              </w:rPr>
            </w:pPr>
            <w:r w:rsidRPr="000113B8">
              <w:rPr>
                <w:rFonts w:ascii="Garamond" w:hAnsi="Garamond" w:cs="Calibri"/>
                <w:b/>
                <w:bCs/>
                <w:color w:val="000000" w:themeColor="text1"/>
                <w:lang w:eastAsia="es-CO"/>
              </w:rPr>
              <w:t xml:space="preserve">ESTADO </w:t>
            </w:r>
          </w:p>
        </w:tc>
        <w:tc>
          <w:tcPr>
            <w:tcW w:w="6804" w:type="dxa"/>
            <w:tcBorders>
              <w:top w:val="single" w:sz="8" w:space="0" w:color="auto"/>
              <w:left w:val="nil"/>
              <w:bottom w:val="single" w:sz="8" w:space="0" w:color="auto"/>
              <w:right w:val="single" w:sz="8" w:space="0" w:color="000000"/>
            </w:tcBorders>
            <w:shd w:val="clear" w:color="000000" w:fill="FFFFFF"/>
            <w:vAlign w:val="center"/>
          </w:tcPr>
          <w:p w14:paraId="2B6ED240" w14:textId="5150F849" w:rsidR="00DF4F9E" w:rsidRPr="000113B8" w:rsidRDefault="005774A1" w:rsidP="00FD5FA6">
            <w:pPr>
              <w:rPr>
                <w:rFonts w:ascii="Garamond" w:hAnsi="Garamond" w:cs="Calibri"/>
                <w:color w:val="000000" w:themeColor="text1"/>
                <w:lang w:eastAsia="es-CO"/>
              </w:rPr>
            </w:pPr>
            <w:r w:rsidRPr="000113B8">
              <w:rPr>
                <w:rFonts w:ascii="Garamond" w:hAnsi="Garamond" w:cs="Calibri"/>
                <w:color w:val="000000" w:themeColor="text1"/>
                <w:lang w:eastAsia="es-CO"/>
              </w:rPr>
              <w:t>PROCESO ADJUDICADO Y CELEBRADO</w:t>
            </w:r>
          </w:p>
        </w:tc>
      </w:tr>
      <w:tr w:rsidR="009A7F8F" w:rsidRPr="000113B8" w14:paraId="271A5F04" w14:textId="77777777" w:rsidTr="00FD5FA6">
        <w:trPr>
          <w:trHeight w:val="66"/>
        </w:trPr>
        <w:tc>
          <w:tcPr>
            <w:tcW w:w="1975" w:type="dxa"/>
            <w:tcBorders>
              <w:top w:val="nil"/>
              <w:left w:val="single" w:sz="8" w:space="0" w:color="auto"/>
              <w:bottom w:val="single" w:sz="8" w:space="0" w:color="auto"/>
              <w:right w:val="single" w:sz="8" w:space="0" w:color="auto"/>
            </w:tcBorders>
            <w:shd w:val="clear" w:color="000000" w:fill="D9D9D9"/>
            <w:vAlign w:val="center"/>
            <w:hideMark/>
          </w:tcPr>
          <w:p w14:paraId="5BD44386" w14:textId="77777777" w:rsidR="00DF4F9E" w:rsidRPr="000113B8" w:rsidRDefault="00DF4F9E" w:rsidP="00FD5FA6">
            <w:pPr>
              <w:jc w:val="center"/>
              <w:rPr>
                <w:rFonts w:ascii="Garamond" w:hAnsi="Garamond" w:cs="Calibri"/>
                <w:b/>
                <w:bCs/>
                <w:color w:val="000000" w:themeColor="text1"/>
                <w:lang w:eastAsia="es-CO"/>
              </w:rPr>
            </w:pPr>
            <w:r w:rsidRPr="000113B8">
              <w:rPr>
                <w:rFonts w:ascii="Garamond" w:hAnsi="Garamond" w:cs="Calibri"/>
                <w:b/>
                <w:bCs/>
                <w:color w:val="000000" w:themeColor="text1"/>
                <w:lang w:eastAsia="es-CO"/>
              </w:rPr>
              <w:t>CÓDIGOS UNSPSC</w:t>
            </w:r>
          </w:p>
        </w:tc>
        <w:tc>
          <w:tcPr>
            <w:tcW w:w="6804" w:type="dxa"/>
            <w:tcBorders>
              <w:top w:val="single" w:sz="8" w:space="0" w:color="auto"/>
              <w:left w:val="nil"/>
              <w:bottom w:val="single" w:sz="8" w:space="0" w:color="auto"/>
              <w:right w:val="single" w:sz="8" w:space="0" w:color="000000"/>
            </w:tcBorders>
            <w:shd w:val="clear" w:color="000000" w:fill="FFFFFF"/>
            <w:vAlign w:val="center"/>
          </w:tcPr>
          <w:p w14:paraId="079BC8B1" w14:textId="77777777" w:rsidR="005774A1" w:rsidRPr="000113B8" w:rsidRDefault="005774A1" w:rsidP="005774A1">
            <w:pPr>
              <w:rPr>
                <w:rFonts w:ascii="Garamond" w:hAnsi="Garamond" w:cs="Arial"/>
                <w:color w:val="000000" w:themeColor="text1"/>
                <w:lang w:val="es-CO"/>
              </w:rPr>
            </w:pPr>
            <w:r w:rsidRPr="000113B8">
              <w:rPr>
                <w:rStyle w:val="vortaltextbox"/>
                <w:rFonts w:ascii="Garamond" w:hAnsi="Garamond" w:cs="Arial"/>
                <w:color w:val="000000" w:themeColor="text1"/>
              </w:rPr>
              <w:t>84131600 - Seguros de vida, salud y accidentes</w:t>
            </w:r>
          </w:p>
          <w:p w14:paraId="792F4FEE" w14:textId="77777777" w:rsidR="00DF4F9E" w:rsidRPr="000113B8" w:rsidRDefault="00DF4F9E" w:rsidP="00FD5FA6">
            <w:pPr>
              <w:rPr>
                <w:rFonts w:ascii="Garamond" w:hAnsi="Garamond" w:cs="Calibri"/>
                <w:color w:val="000000" w:themeColor="text1"/>
                <w:lang w:eastAsia="es-CO"/>
              </w:rPr>
            </w:pPr>
          </w:p>
        </w:tc>
      </w:tr>
      <w:tr w:rsidR="009A7F8F" w:rsidRPr="000113B8" w14:paraId="079FED77" w14:textId="77777777" w:rsidTr="00FD5FA6">
        <w:trPr>
          <w:trHeight w:val="315"/>
        </w:trPr>
        <w:tc>
          <w:tcPr>
            <w:tcW w:w="1975" w:type="dxa"/>
            <w:tcBorders>
              <w:top w:val="nil"/>
              <w:left w:val="single" w:sz="8" w:space="0" w:color="auto"/>
              <w:bottom w:val="single" w:sz="8" w:space="0" w:color="auto"/>
              <w:right w:val="single" w:sz="8" w:space="0" w:color="auto"/>
            </w:tcBorders>
            <w:shd w:val="clear" w:color="000000" w:fill="D9D9D9"/>
            <w:vAlign w:val="center"/>
            <w:hideMark/>
          </w:tcPr>
          <w:p w14:paraId="39BBD22D" w14:textId="77777777" w:rsidR="00DF4F9E" w:rsidRPr="000113B8" w:rsidRDefault="00DF4F9E" w:rsidP="00FD5FA6">
            <w:pPr>
              <w:jc w:val="center"/>
              <w:rPr>
                <w:rFonts w:ascii="Garamond" w:hAnsi="Garamond" w:cs="Calibri"/>
                <w:b/>
                <w:bCs/>
                <w:color w:val="000000" w:themeColor="text1"/>
                <w:lang w:eastAsia="es-CO"/>
              </w:rPr>
            </w:pPr>
            <w:r w:rsidRPr="000113B8">
              <w:rPr>
                <w:rFonts w:ascii="Garamond" w:hAnsi="Garamond" w:cs="Calibri"/>
                <w:b/>
                <w:bCs/>
                <w:color w:val="000000" w:themeColor="text1"/>
                <w:lang w:eastAsia="es-CO"/>
              </w:rPr>
              <w:t>CRITERIOS DIFERENCIALES</w:t>
            </w:r>
          </w:p>
        </w:tc>
        <w:tc>
          <w:tcPr>
            <w:tcW w:w="6804" w:type="dxa"/>
            <w:tcBorders>
              <w:top w:val="single" w:sz="8" w:space="0" w:color="auto"/>
              <w:left w:val="nil"/>
              <w:bottom w:val="single" w:sz="8" w:space="0" w:color="auto"/>
              <w:right w:val="single" w:sz="8" w:space="0" w:color="000000"/>
            </w:tcBorders>
            <w:shd w:val="clear" w:color="000000" w:fill="FFFFFF"/>
            <w:vAlign w:val="center"/>
          </w:tcPr>
          <w:p w14:paraId="757AEB40" w14:textId="302EA09C" w:rsidR="00DF4F9E" w:rsidRPr="000113B8" w:rsidRDefault="005774A1" w:rsidP="00FD5FA6">
            <w:pPr>
              <w:rPr>
                <w:rFonts w:ascii="Garamond" w:hAnsi="Garamond" w:cs="Calibri"/>
                <w:i/>
                <w:iCs/>
                <w:color w:val="000000" w:themeColor="text1"/>
                <w:lang w:eastAsia="es-CO"/>
              </w:rPr>
            </w:pPr>
            <w:r w:rsidRPr="000113B8">
              <w:rPr>
                <w:rFonts w:ascii="Garamond" w:hAnsi="Garamond" w:cs="Calibri"/>
                <w:i/>
                <w:iCs/>
                <w:color w:val="000000" w:themeColor="text1"/>
                <w:lang w:eastAsia="es-CO"/>
              </w:rPr>
              <w:t xml:space="preserve">De conformidad con el Artículo 2.2.1.2.4.2.18. del Decreto 1860 del 2021 (..) establecerá las condiciones habilitantes diferenciales que promuevan y faciliten la participación en los procedimientos de selección competitivos de las </w:t>
            </w:r>
            <w:proofErr w:type="spellStart"/>
            <w:r w:rsidRPr="000113B8">
              <w:rPr>
                <w:rFonts w:ascii="Garamond" w:hAnsi="Garamond" w:cs="Calibri"/>
                <w:i/>
                <w:iCs/>
                <w:color w:val="000000" w:themeColor="text1"/>
                <w:lang w:eastAsia="es-CO"/>
              </w:rPr>
              <w:t>Mipymes</w:t>
            </w:r>
            <w:proofErr w:type="spellEnd"/>
            <w:r w:rsidRPr="000113B8">
              <w:rPr>
                <w:rFonts w:ascii="Garamond" w:hAnsi="Garamond" w:cs="Calibri"/>
                <w:i/>
                <w:iCs/>
                <w:color w:val="000000" w:themeColor="text1"/>
                <w:lang w:eastAsia="es-CO"/>
              </w:rPr>
              <w:t xml:space="preserve">(..) Con el fin de establecer los criterios diferenciales para las </w:t>
            </w:r>
            <w:proofErr w:type="spellStart"/>
            <w:r w:rsidRPr="000113B8">
              <w:rPr>
                <w:rFonts w:ascii="Garamond" w:hAnsi="Garamond" w:cs="Calibri"/>
                <w:i/>
                <w:iCs/>
                <w:color w:val="000000" w:themeColor="text1"/>
                <w:lang w:eastAsia="es-CO"/>
              </w:rPr>
              <w:t>Mipymes</w:t>
            </w:r>
            <w:proofErr w:type="spellEnd"/>
            <w:r w:rsidRPr="000113B8">
              <w:rPr>
                <w:rFonts w:ascii="Garamond" w:hAnsi="Garamond" w:cs="Calibri"/>
                <w:i/>
                <w:iCs/>
                <w:color w:val="000000" w:themeColor="text1"/>
                <w:lang w:eastAsia="es-CO"/>
              </w:rPr>
              <w:t>, el oferente que ostente tal condición podrá acreditar máximo cuatro (4) certificaciones de contratos, con las mismas condiciones establecidas en el numeral 6.1.2.2 experiencia del proponente, esto es con objeto similar o igual al proceso que se pretende, y cuya sumatoria sea igual o superior al 100% del presupuesto oficial expresado en SMMLV de acuerdo a la oferta presentada</w:t>
            </w:r>
          </w:p>
        </w:tc>
      </w:tr>
      <w:tr w:rsidR="009A7F8F" w:rsidRPr="000113B8" w14:paraId="68F47D6C" w14:textId="77777777" w:rsidTr="00FD5FA6">
        <w:trPr>
          <w:trHeight w:val="633"/>
        </w:trPr>
        <w:tc>
          <w:tcPr>
            <w:tcW w:w="1975" w:type="dxa"/>
            <w:tcBorders>
              <w:top w:val="nil"/>
              <w:left w:val="single" w:sz="8" w:space="0" w:color="auto"/>
              <w:bottom w:val="single" w:sz="8" w:space="0" w:color="auto"/>
              <w:right w:val="single" w:sz="8" w:space="0" w:color="auto"/>
            </w:tcBorders>
            <w:shd w:val="clear" w:color="000000" w:fill="D9D9D9"/>
            <w:vAlign w:val="center"/>
          </w:tcPr>
          <w:p w14:paraId="1D65A169" w14:textId="77777777" w:rsidR="00DF4F9E" w:rsidRPr="000113B8" w:rsidRDefault="00DF4F9E" w:rsidP="00FD5FA6">
            <w:pPr>
              <w:jc w:val="center"/>
              <w:rPr>
                <w:rFonts w:ascii="Garamond" w:hAnsi="Garamond" w:cs="Calibri"/>
                <w:b/>
                <w:bCs/>
                <w:color w:val="000000" w:themeColor="text1"/>
                <w:lang w:eastAsia="es-CO"/>
              </w:rPr>
            </w:pPr>
            <w:r w:rsidRPr="000113B8">
              <w:rPr>
                <w:rFonts w:ascii="Garamond" w:hAnsi="Garamond" w:cs="Calibri"/>
                <w:b/>
                <w:bCs/>
                <w:color w:val="000000" w:themeColor="text1"/>
                <w:lang w:eastAsia="es-CO"/>
              </w:rPr>
              <w:t>FOMA DE PAGO</w:t>
            </w:r>
          </w:p>
        </w:tc>
        <w:tc>
          <w:tcPr>
            <w:tcW w:w="6804" w:type="dxa"/>
            <w:tcBorders>
              <w:top w:val="single" w:sz="8" w:space="0" w:color="auto"/>
              <w:left w:val="nil"/>
              <w:bottom w:val="single" w:sz="8" w:space="0" w:color="auto"/>
              <w:right w:val="single" w:sz="8" w:space="0" w:color="000000"/>
            </w:tcBorders>
            <w:shd w:val="clear" w:color="000000" w:fill="FFFFFF"/>
            <w:vAlign w:val="center"/>
          </w:tcPr>
          <w:p w14:paraId="5EEDEEF1" w14:textId="44E40069" w:rsidR="00DF4F9E" w:rsidRPr="000113B8" w:rsidRDefault="00F00D83" w:rsidP="00FD5FA6">
            <w:pPr>
              <w:jc w:val="both"/>
              <w:rPr>
                <w:rFonts w:ascii="Garamond" w:hAnsi="Garamond" w:cs="Calibri"/>
                <w:i/>
                <w:iCs/>
                <w:color w:val="000000" w:themeColor="text1"/>
                <w:lang w:eastAsia="es-CO"/>
              </w:rPr>
            </w:pPr>
            <w:r w:rsidRPr="000113B8">
              <w:rPr>
                <w:rFonts w:ascii="Garamond" w:hAnsi="Garamond" w:cs="Calibri"/>
                <w:i/>
                <w:iCs/>
                <w:color w:val="000000" w:themeColor="text1"/>
                <w:lang w:eastAsia="es-CO"/>
              </w:rPr>
              <w:t>Se realizará UN (1) pago equivalente al 100% del valor del contrato, una vez recibidas las pólizas objeto de contratación definidas en el anexo técnico a satisfacción del Supervisor o apoyo a la Supervisión del contrato, siempre y cuando cumpla con las condiciones técnicas establecidas en los estudios previos y la invitación pública y previa presentación de los siguientes documentos: a. Haber expedido la póliza de vida de conformidad con los requerimientos técnicos contenidos en los documentos que constituyen el presente Proceso de Selección. b. Presentar la certificación de cumplimiento a satisfacción expedida por el supervisor del contrato. c. Copia de la planilla de pago de .de los aportes al régimen de seguridad social, para el periodo cobrado en proporción al valor mensual del contrato, cuando se trate de personas naturales d. Certificación suscrita por el representante legal o revisor fiscal (Cuando aplique), que acredite el cumplimiento del pago de aportes al sistema de seguridad social integral, parafiscales, ICBF, SENA y cajas de compensación familiar de los últimos seis (6) meses, de conformidad con el artículo 50 de la Leu 789 de 2002 o aquella que lo modifique, adicione o complemente, cuando se trate de personas jurídicas. e. Presentar la respectiva factura electrónica De acuerdo con el Decreto 358 del 5 de marzo de 2020 expedido por el Ministerio de Hacienda y Crédito Público por el cual se reglamentan aspectos en materia tributaria y la Resolución No. 000042 del 5 de mayo de 2020 expedida por la Dirección de Impuestos y Aduanas Nacionales–DIAN</w:t>
            </w:r>
          </w:p>
        </w:tc>
      </w:tr>
      <w:tr w:rsidR="009A7F8F" w:rsidRPr="000113B8" w14:paraId="73A089F1" w14:textId="77777777" w:rsidTr="00FD5FA6">
        <w:trPr>
          <w:trHeight w:val="207"/>
        </w:trPr>
        <w:tc>
          <w:tcPr>
            <w:tcW w:w="1975" w:type="dxa"/>
            <w:tcBorders>
              <w:top w:val="nil"/>
              <w:left w:val="single" w:sz="8" w:space="0" w:color="auto"/>
              <w:bottom w:val="single" w:sz="8" w:space="0" w:color="auto"/>
              <w:right w:val="single" w:sz="8" w:space="0" w:color="auto"/>
            </w:tcBorders>
            <w:shd w:val="clear" w:color="000000" w:fill="D9D9D9"/>
            <w:vAlign w:val="center"/>
          </w:tcPr>
          <w:p w14:paraId="067C8B54" w14:textId="77777777" w:rsidR="00DF4F9E" w:rsidRPr="000113B8" w:rsidRDefault="00DF4F9E" w:rsidP="00FD5FA6">
            <w:pPr>
              <w:jc w:val="center"/>
              <w:rPr>
                <w:rFonts w:ascii="Garamond" w:hAnsi="Garamond" w:cs="Calibri"/>
                <w:b/>
                <w:bCs/>
                <w:color w:val="000000" w:themeColor="text1"/>
                <w:lang w:eastAsia="es-CO"/>
              </w:rPr>
            </w:pPr>
            <w:r w:rsidRPr="000113B8">
              <w:rPr>
                <w:rFonts w:ascii="Garamond" w:hAnsi="Garamond" w:cs="Calibri"/>
                <w:b/>
                <w:bCs/>
                <w:color w:val="000000" w:themeColor="text1"/>
                <w:lang w:eastAsia="es-CO"/>
              </w:rPr>
              <w:t>ENLACE DEL SECOP</w:t>
            </w:r>
          </w:p>
        </w:tc>
        <w:tc>
          <w:tcPr>
            <w:tcW w:w="6804" w:type="dxa"/>
            <w:tcBorders>
              <w:top w:val="single" w:sz="8" w:space="0" w:color="auto"/>
              <w:left w:val="nil"/>
              <w:bottom w:val="single" w:sz="8" w:space="0" w:color="auto"/>
              <w:right w:val="single" w:sz="8" w:space="0" w:color="000000"/>
            </w:tcBorders>
            <w:shd w:val="clear" w:color="000000" w:fill="FFFFFF"/>
            <w:vAlign w:val="center"/>
          </w:tcPr>
          <w:p w14:paraId="72F9C8FD" w14:textId="4593B1A7" w:rsidR="00DF4F9E" w:rsidRPr="000113B8" w:rsidRDefault="00F00D83" w:rsidP="00FD5FA6">
            <w:pPr>
              <w:rPr>
                <w:rFonts w:ascii="Garamond" w:hAnsi="Garamond" w:cs="Calibri"/>
                <w:color w:val="000000" w:themeColor="text1"/>
                <w:u w:val="single"/>
                <w:lang w:eastAsia="es-CO"/>
              </w:rPr>
            </w:pPr>
            <w:hyperlink r:id="rId56" w:history="1">
              <w:r w:rsidRPr="000113B8">
                <w:rPr>
                  <w:rStyle w:val="Hipervnculo"/>
                  <w:rFonts w:ascii="Garamond" w:hAnsi="Garamond" w:cs="Calibri"/>
                  <w:color w:val="000000" w:themeColor="text1"/>
                  <w:lang w:eastAsia="es-CO"/>
                </w:rPr>
                <w:t>https://community.secop.gov.co/Public/Tendering/OpportunityDetail/Index?noticeUID=CO1.NTC.7174245&amp;isFromPublicArea=True&amp;isModal=Fals</w:t>
              </w:r>
            </w:hyperlink>
          </w:p>
        </w:tc>
      </w:tr>
    </w:tbl>
    <w:p w14:paraId="77C8191D" w14:textId="00FECFEA" w:rsidR="00A54369" w:rsidRPr="000113B8" w:rsidRDefault="00A54369" w:rsidP="00A54369">
      <w:pPr>
        <w:pStyle w:val="Default"/>
        <w:jc w:val="center"/>
        <w:rPr>
          <w:rFonts w:ascii="Garamond" w:hAnsi="Garamond"/>
          <w:bCs/>
          <w:color w:val="000000" w:themeColor="text1"/>
          <w:sz w:val="22"/>
          <w:szCs w:val="22"/>
          <w:lang w:val="es-ES"/>
        </w:rPr>
      </w:pPr>
      <w:r w:rsidRPr="000113B8">
        <w:rPr>
          <w:rFonts w:ascii="Garamond" w:hAnsi="Garamond"/>
          <w:bCs/>
          <w:color w:val="000000" w:themeColor="text1"/>
          <w:sz w:val="22"/>
          <w:szCs w:val="22"/>
          <w:lang w:val="es-ES"/>
        </w:rPr>
        <w:t>Fuente: Elaboración Propia</w:t>
      </w:r>
    </w:p>
    <w:p w14:paraId="52787335" w14:textId="77777777" w:rsidR="00A54369" w:rsidRPr="000113B8" w:rsidRDefault="00A54369" w:rsidP="00A54369">
      <w:pPr>
        <w:pStyle w:val="Default"/>
        <w:jc w:val="both"/>
        <w:rPr>
          <w:rFonts w:ascii="Garamond" w:hAnsi="Garamond"/>
          <w:b/>
          <w:color w:val="000000" w:themeColor="text1"/>
          <w:sz w:val="22"/>
          <w:szCs w:val="22"/>
        </w:rPr>
      </w:pPr>
    </w:p>
    <w:p w14:paraId="4647D18C" w14:textId="77777777" w:rsidR="00F00D83" w:rsidRPr="000113B8" w:rsidRDefault="00F00D83" w:rsidP="00F00D83">
      <w:pPr>
        <w:pStyle w:val="Default"/>
        <w:jc w:val="both"/>
        <w:rPr>
          <w:rFonts w:ascii="Garamond" w:eastAsia="Times New Roman" w:hAnsi="Garamond" w:cs="Times New Roman"/>
          <w:iCs/>
          <w:color w:val="000000" w:themeColor="text1"/>
          <w:sz w:val="22"/>
          <w:szCs w:val="22"/>
          <w14:ligatures w14:val="none"/>
        </w:rPr>
      </w:pPr>
      <w:r w:rsidRPr="000113B8">
        <w:rPr>
          <w:rFonts w:ascii="Garamond" w:eastAsia="Times New Roman" w:hAnsi="Garamond" w:cs="Times New Roman"/>
          <w:iCs/>
          <w:color w:val="000000" w:themeColor="text1"/>
          <w:sz w:val="22"/>
          <w:szCs w:val="22"/>
          <w14:ligatures w14:val="none"/>
        </w:rPr>
        <w:t>El Fondo de Desarrollo Rural de Sumapaz (FDRS) realizó un análisis integral de procesos contractuales previamente adelantados tanto por la entidad como por otras instituciones públicas, cuyos objetos guardan similitud con el del presente proceso. Este ejercicio permitió identificar que, si bien los presupuestos oficiales de los procesos revisados presentan variaciones, dichas diferencias se encuentran directamente asociadas a factores como las condiciones técnicas, el alcance contractual, la localización de las intervenciones y su nivel de complejidad operativa.</w:t>
      </w:r>
    </w:p>
    <w:p w14:paraId="3BBFC2FE" w14:textId="77777777" w:rsidR="00F00D83" w:rsidRPr="000113B8" w:rsidRDefault="00F00D83" w:rsidP="00F00D83">
      <w:pPr>
        <w:pStyle w:val="Default"/>
        <w:jc w:val="both"/>
        <w:rPr>
          <w:rFonts w:ascii="Garamond" w:eastAsia="Times New Roman" w:hAnsi="Garamond" w:cs="Times New Roman"/>
          <w:iCs/>
          <w:color w:val="000000" w:themeColor="text1"/>
          <w:sz w:val="22"/>
          <w:szCs w:val="22"/>
          <w14:ligatures w14:val="none"/>
        </w:rPr>
      </w:pPr>
    </w:p>
    <w:p w14:paraId="03CE4592" w14:textId="19B89900" w:rsidR="00F00D83" w:rsidRPr="000113B8" w:rsidRDefault="00F00D83" w:rsidP="00F00D83">
      <w:pPr>
        <w:pStyle w:val="Default"/>
        <w:jc w:val="both"/>
        <w:rPr>
          <w:rFonts w:ascii="Garamond" w:eastAsia="Times New Roman" w:hAnsi="Garamond" w:cs="Times New Roman"/>
          <w:iCs/>
          <w:color w:val="000000" w:themeColor="text1"/>
          <w:sz w:val="22"/>
          <w:szCs w:val="22"/>
          <w:lang w:val="es-ES"/>
          <w14:ligatures w14:val="none"/>
        </w:rPr>
      </w:pPr>
      <w:r w:rsidRPr="000113B8">
        <w:rPr>
          <w:rFonts w:ascii="Garamond" w:eastAsia="Times New Roman" w:hAnsi="Garamond" w:cs="Times New Roman"/>
          <w:iCs/>
          <w:color w:val="000000" w:themeColor="text1"/>
          <w:sz w:val="22"/>
          <w:szCs w:val="22"/>
          <w:lang w:val="es-ES"/>
          <w14:ligatures w14:val="none"/>
        </w:rPr>
        <w:t>Con base en el análisis desarrollado, los resultados obtenidos no solo respaldan la adecuada estructuración del presente proceso en sus dimensiones técnica, financiera y jurídica, sino que también permiten incorporar aprendizajes derivados de experiencias contractuales previas. Esto facilita el ajuste de los componentes de planeación, el fortalecimiento de la gestión de riesgos mediante la correspondiente matriz y la optimización de los criterios de eficiencia, transparencia y selección objetiva, contribuyendo de manera directa al cumplimiento de los objetivos institucionales y a la correcta ejecución de las intervenciones proyectadas en la contratación de pólizas para los ediles de la Jal de la Localidad de Sumapaz.</w:t>
      </w:r>
    </w:p>
    <w:p w14:paraId="74E26E97" w14:textId="77777777" w:rsidR="00F00D83" w:rsidRPr="000113B8" w:rsidRDefault="00F00D83" w:rsidP="00F00D83">
      <w:pPr>
        <w:pStyle w:val="Default"/>
        <w:jc w:val="both"/>
        <w:rPr>
          <w:rFonts w:ascii="Garamond" w:eastAsia="Times New Roman" w:hAnsi="Garamond" w:cs="Times New Roman"/>
          <w:iCs/>
          <w:color w:val="000000" w:themeColor="text1"/>
          <w:sz w:val="22"/>
          <w:szCs w:val="22"/>
          <w:lang w:val="es-ES"/>
          <w14:ligatures w14:val="none"/>
        </w:rPr>
      </w:pPr>
    </w:p>
    <w:p w14:paraId="2EABA185" w14:textId="00261368" w:rsidR="00F00D83" w:rsidRPr="000113B8" w:rsidRDefault="00F00D83" w:rsidP="00F00D83">
      <w:pPr>
        <w:pStyle w:val="Default"/>
        <w:jc w:val="both"/>
        <w:rPr>
          <w:rFonts w:ascii="Garamond" w:hAnsi="Garamond"/>
          <w:iCs/>
          <w:color w:val="000000" w:themeColor="text1"/>
          <w:sz w:val="22"/>
          <w:szCs w:val="22"/>
        </w:rPr>
      </w:pPr>
      <w:r w:rsidRPr="000113B8">
        <w:rPr>
          <w:rFonts w:ascii="Garamond" w:hAnsi="Garamond"/>
          <w:iCs/>
          <w:color w:val="000000" w:themeColor="text1"/>
          <w:sz w:val="22"/>
          <w:szCs w:val="22"/>
        </w:rPr>
        <w:t xml:space="preserve">En coherencia con el análisis efectuado, se identifica que, dada la naturaleza técnica de las intervenciones, el alcance operativo requerido y la necesidad de garantizar una amplia participación del mercado proveedor, resulta procedente estructurar el presente proceso bajo la modalidad de mínima cuantía. Este mecanismo permite promover la pluralidad de oferentes, la transparencia en la selección y la comparación objetiva de propuestas técnicas y económicas, aspectos fundamentales asociados </w:t>
      </w:r>
      <w:r w:rsidR="00FF3A79" w:rsidRPr="000113B8">
        <w:rPr>
          <w:rFonts w:ascii="Garamond" w:hAnsi="Garamond"/>
          <w:iCs/>
          <w:color w:val="000000" w:themeColor="text1"/>
          <w:sz w:val="22"/>
          <w:szCs w:val="22"/>
        </w:rPr>
        <w:t>a</w:t>
      </w:r>
      <w:r w:rsidRPr="000113B8">
        <w:rPr>
          <w:rFonts w:ascii="Garamond" w:hAnsi="Garamond"/>
          <w:iCs/>
          <w:color w:val="000000" w:themeColor="text1"/>
          <w:sz w:val="22"/>
          <w:szCs w:val="22"/>
        </w:rPr>
        <w:t xml:space="preserve"> seguros de vida.</w:t>
      </w:r>
    </w:p>
    <w:p w14:paraId="432CF479" w14:textId="77777777" w:rsidR="00F00D83" w:rsidRPr="000113B8" w:rsidRDefault="00F00D83" w:rsidP="00F00D83">
      <w:pPr>
        <w:pStyle w:val="Default"/>
        <w:jc w:val="both"/>
        <w:rPr>
          <w:rFonts w:ascii="Garamond" w:eastAsia="Times New Roman" w:hAnsi="Garamond" w:cs="Times New Roman"/>
          <w:iCs/>
          <w:color w:val="000000" w:themeColor="text1"/>
          <w:sz w:val="22"/>
          <w:szCs w:val="22"/>
          <w:lang w:val="es-ES"/>
          <w14:ligatures w14:val="none"/>
        </w:rPr>
      </w:pPr>
    </w:p>
    <w:p w14:paraId="5A798ACA" w14:textId="3D5F37E5" w:rsidR="00F00D83" w:rsidRPr="000113B8" w:rsidRDefault="00DD2B81" w:rsidP="00F00D83">
      <w:pPr>
        <w:pStyle w:val="Default"/>
        <w:jc w:val="both"/>
        <w:rPr>
          <w:rFonts w:ascii="Garamond" w:eastAsia="Times New Roman" w:hAnsi="Garamond" w:cs="Times New Roman"/>
          <w:iCs/>
          <w:color w:val="000000" w:themeColor="text1"/>
          <w:sz w:val="22"/>
          <w:szCs w:val="22"/>
          <w:lang w:val="es-ES"/>
          <w14:ligatures w14:val="none"/>
        </w:rPr>
      </w:pPr>
      <w:r w:rsidRPr="000113B8">
        <w:rPr>
          <w:rFonts w:ascii="Garamond" w:eastAsia="Times New Roman" w:hAnsi="Garamond" w:cs="Times New Roman"/>
          <w:iCs/>
          <w:color w:val="000000" w:themeColor="text1"/>
          <w:sz w:val="22"/>
          <w:szCs w:val="22"/>
          <w:lang w:val="es-ES"/>
          <w14:ligatures w14:val="none"/>
        </w:rPr>
        <w:t>En relación con los presupuestos oficiales, se observa que no presentan un comportamiento homogéneo, situación que se explica principalmente por las diferencias en los plazos de ejecución de los contratos. Estas variaciones responden al tiempo de cobertura requerido, al alcance del objeto contractual y a las condiciones específicas de cada proceso, lo que incide directamente en la estructuración financiera y en el valor estimado de las pólizas.</w:t>
      </w:r>
    </w:p>
    <w:p w14:paraId="722CF631" w14:textId="77777777" w:rsidR="00DD2B81" w:rsidRPr="000113B8" w:rsidRDefault="00DD2B81" w:rsidP="00F00D83">
      <w:pPr>
        <w:pStyle w:val="Default"/>
        <w:jc w:val="both"/>
        <w:rPr>
          <w:rFonts w:ascii="Garamond" w:eastAsia="Times New Roman" w:hAnsi="Garamond" w:cs="Times New Roman"/>
          <w:iCs/>
          <w:color w:val="000000" w:themeColor="text1"/>
          <w:sz w:val="22"/>
          <w:szCs w:val="22"/>
          <w:lang w:val="es-ES"/>
          <w14:ligatures w14:val="none"/>
        </w:rPr>
      </w:pPr>
    </w:p>
    <w:p w14:paraId="5517B376" w14:textId="77777777" w:rsidR="00DD2B81" w:rsidRPr="000113B8" w:rsidRDefault="00DD2B81" w:rsidP="00DD2B81">
      <w:pPr>
        <w:pStyle w:val="Default"/>
        <w:jc w:val="both"/>
        <w:rPr>
          <w:rFonts w:ascii="Garamond" w:hAnsi="Garamond"/>
          <w:iCs/>
          <w:color w:val="000000" w:themeColor="text1"/>
          <w:sz w:val="22"/>
          <w:szCs w:val="22"/>
        </w:rPr>
      </w:pPr>
      <w:r w:rsidRPr="000113B8">
        <w:rPr>
          <w:rFonts w:ascii="Garamond" w:hAnsi="Garamond"/>
          <w:iCs/>
          <w:color w:val="000000" w:themeColor="text1"/>
          <w:sz w:val="22"/>
          <w:szCs w:val="22"/>
        </w:rPr>
        <w:t>En síntesis, el análisis comparativo permite concluir que el mercado asociado a este tipo de procesos se caracteriza por rangos presupuestales relativamente homogéneos, variabilidad en los tiempos de ejecución según el nivel de complejidad técnica, participación fluctuante de oferentes, diversidad en los tipos de proponentes y una creciente incorporación de criterios diferenciales alineados con la política pública. Estos elementos constituyen insumos estratégicos para la adecuada estructuración del presente proceso de contratación, fortaleciendo su pertinencia técnica, viabilidad financiera y sostenibilidad en el tiempo.</w:t>
      </w:r>
    </w:p>
    <w:p w14:paraId="094CA73D" w14:textId="77777777" w:rsidR="00DD2B81" w:rsidRPr="000113B8" w:rsidRDefault="00DD2B81" w:rsidP="00DD2B81">
      <w:pPr>
        <w:pStyle w:val="Default"/>
        <w:jc w:val="both"/>
        <w:rPr>
          <w:rFonts w:ascii="Garamond" w:hAnsi="Garamond"/>
          <w:color w:val="000000" w:themeColor="text1"/>
          <w:sz w:val="22"/>
          <w:szCs w:val="22"/>
          <w:lang w:val="es-ES"/>
        </w:rPr>
      </w:pPr>
    </w:p>
    <w:p w14:paraId="1271E8B9" w14:textId="22D02A3E" w:rsidR="004F5681" w:rsidRPr="000113B8" w:rsidRDefault="004F5681" w:rsidP="00C54B99">
      <w:pPr>
        <w:pStyle w:val="Prrafodelista"/>
        <w:numPr>
          <w:ilvl w:val="1"/>
          <w:numId w:val="24"/>
        </w:numPr>
        <w:rPr>
          <w:rFonts w:ascii="Garamond" w:hAnsi="Garamond"/>
          <w:b/>
          <w:bCs/>
          <w:color w:val="000000" w:themeColor="text1"/>
        </w:rPr>
      </w:pPr>
      <w:r w:rsidRPr="000113B8">
        <w:rPr>
          <w:rFonts w:ascii="Garamond" w:hAnsi="Garamond"/>
          <w:b/>
          <w:bCs/>
          <w:color w:val="000000" w:themeColor="text1"/>
        </w:rPr>
        <w:t>COMPORTAMIENTO DE CONTRATACIÓN BIENES Y SERVICIOS UNS</w:t>
      </w:r>
      <w:r w:rsidR="00D03DFD" w:rsidRPr="000113B8">
        <w:rPr>
          <w:rFonts w:ascii="Garamond" w:hAnsi="Garamond"/>
          <w:b/>
          <w:bCs/>
          <w:color w:val="000000" w:themeColor="text1"/>
        </w:rPr>
        <w:t>PSC</w:t>
      </w:r>
    </w:p>
    <w:p w14:paraId="2A4D70A4" w14:textId="77777777" w:rsidR="00C36E43" w:rsidRPr="000113B8" w:rsidRDefault="00C36E43" w:rsidP="00C36E43">
      <w:pPr>
        <w:rPr>
          <w:rFonts w:ascii="Garamond" w:hAnsi="Garamond"/>
          <w:b/>
          <w:bCs/>
          <w:color w:val="000000" w:themeColor="text1"/>
        </w:rPr>
      </w:pPr>
    </w:p>
    <w:p w14:paraId="264107DB" w14:textId="5BC7FCBB" w:rsidR="00DD2B81" w:rsidRPr="000113B8" w:rsidRDefault="00DD2B81" w:rsidP="00DD2B81">
      <w:pPr>
        <w:jc w:val="both"/>
        <w:rPr>
          <w:rFonts w:ascii="Garamond" w:hAnsi="Garamond"/>
          <w:color w:val="000000" w:themeColor="text1"/>
        </w:rPr>
      </w:pPr>
      <w:r w:rsidRPr="000113B8">
        <w:rPr>
          <w:rFonts w:ascii="Garamond" w:hAnsi="Garamond"/>
          <w:color w:val="000000" w:themeColor="text1"/>
        </w:rPr>
        <w:t xml:space="preserve">La Agencia Nacional de Contratación Pública – Colombia Compra Eficiente, a través del Modelo de Abastecimiento Estratégico y Oferta, permite realizar un análisis estructurado de la composición y comportamiento de los códigos asociados al sector de </w:t>
      </w:r>
      <w:r w:rsidR="003B5FC3">
        <w:rPr>
          <w:rFonts w:ascii="Garamond" w:hAnsi="Garamond"/>
          <w:color w:val="000000" w:themeColor="text1"/>
        </w:rPr>
        <w:t>servicios de seguros</w:t>
      </w:r>
      <w:r w:rsidRPr="000113B8">
        <w:rPr>
          <w:rFonts w:ascii="Garamond" w:hAnsi="Garamond"/>
          <w:color w:val="000000" w:themeColor="text1"/>
        </w:rPr>
        <w:t xml:space="preserve">, con el fin de identificar las dinámicas del mercado proveedor, los niveles de participación empresarial y las modalidades de selección más utilizadas por las entidades estatales. En este sentido, el presente análisis se desarrolla considerando la información consolidada para el periodo 2026, lo que posibilita evidenciar tendencias recientes en la contratación pública relacionadas con la ejecución de </w:t>
      </w:r>
      <w:r w:rsidR="003B5FC3">
        <w:rPr>
          <w:rFonts w:ascii="Garamond" w:hAnsi="Garamond"/>
          <w:color w:val="000000" w:themeColor="text1"/>
        </w:rPr>
        <w:t>servicios de seguros y de pensiones.</w:t>
      </w:r>
    </w:p>
    <w:p w14:paraId="27D71D00" w14:textId="77777777" w:rsidR="00DD2B81" w:rsidRPr="000113B8" w:rsidRDefault="00DD2B81" w:rsidP="00DD2B81">
      <w:pPr>
        <w:jc w:val="both"/>
        <w:rPr>
          <w:rFonts w:ascii="Garamond" w:hAnsi="Garamond"/>
          <w:noProof/>
          <w:color w:val="000000" w:themeColor="text1"/>
          <w14:ligatures w14:val="standardContextual"/>
        </w:rPr>
      </w:pPr>
    </w:p>
    <w:p w14:paraId="02804492" w14:textId="77777777" w:rsidR="00DD2B81" w:rsidRPr="000113B8" w:rsidRDefault="00DD2B81" w:rsidP="00DD2B81">
      <w:pPr>
        <w:jc w:val="both"/>
        <w:rPr>
          <w:rFonts w:ascii="Garamond" w:hAnsi="Garamond"/>
          <w:color w:val="000000" w:themeColor="text1"/>
          <w:lang w:val="es-CO"/>
        </w:rPr>
      </w:pPr>
      <w:r w:rsidRPr="000113B8">
        <w:rPr>
          <w:rFonts w:ascii="Garamond" w:hAnsi="Garamond"/>
          <w:color w:val="000000" w:themeColor="text1"/>
          <w:lang w:val="es-CO"/>
        </w:rPr>
        <w:t>El valor adjudicado corresponde el código 8413 (Servicios de seguros y pensione), en este identificamos el código 841316 “</w:t>
      </w:r>
      <w:r w:rsidRPr="003B5FC3">
        <w:rPr>
          <w:rFonts w:ascii="Garamond" w:hAnsi="Garamond"/>
          <w:i/>
          <w:color w:val="000000" w:themeColor="text1"/>
          <w:lang w:val="es-CO"/>
        </w:rPr>
        <w:t>Servicios de vida, salud y accidentes”,</w:t>
      </w:r>
      <w:r w:rsidRPr="000113B8">
        <w:rPr>
          <w:rFonts w:ascii="Garamond" w:hAnsi="Garamond"/>
          <w:color w:val="000000" w:themeColor="text1"/>
          <w:lang w:val="es-CO"/>
        </w:rPr>
        <w:t xml:space="preserve"> con un número de 261 contratos, por un valor de $94.922.040.054 y una participación del 2,35%, </w:t>
      </w:r>
    </w:p>
    <w:p w14:paraId="0DD35807" w14:textId="77777777" w:rsidR="00DD2B81" w:rsidRPr="000113B8" w:rsidRDefault="00DD2B81" w:rsidP="00DD2B81">
      <w:pPr>
        <w:jc w:val="both"/>
        <w:rPr>
          <w:rFonts w:ascii="Garamond" w:hAnsi="Garamond"/>
          <w:color w:val="000000" w:themeColor="text1"/>
          <w:lang w:val="es-CO"/>
        </w:rPr>
      </w:pPr>
    </w:p>
    <w:p w14:paraId="06ADA6E3" w14:textId="77777777" w:rsidR="00DD2B81" w:rsidRPr="000113B8" w:rsidRDefault="00DD2B81" w:rsidP="00DD2B81">
      <w:pPr>
        <w:jc w:val="center"/>
        <w:rPr>
          <w:rFonts w:ascii="Garamond" w:hAnsi="Garamond"/>
          <w:noProof/>
          <w:color w:val="000000" w:themeColor="text1"/>
          <w:lang w:val="es-CO"/>
        </w:rPr>
      </w:pPr>
      <w:r w:rsidRPr="000113B8">
        <w:rPr>
          <w:rFonts w:ascii="Garamond" w:hAnsi="Garamond"/>
          <w:noProof/>
          <w:color w:val="000000" w:themeColor="text1"/>
        </w:rPr>
        <w:drawing>
          <wp:inline distT="0" distB="0" distL="0" distR="0" wp14:anchorId="0E69B8FC" wp14:editId="192CE32B">
            <wp:extent cx="5943600" cy="628650"/>
            <wp:effectExtent l="0" t="0" r="0" b="0"/>
            <wp:docPr id="91816125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173583" name=""/>
                    <pic:cNvPicPr/>
                  </pic:nvPicPr>
                  <pic:blipFill>
                    <a:blip r:embed="rId57"/>
                    <a:stretch>
                      <a:fillRect/>
                    </a:stretch>
                  </pic:blipFill>
                  <pic:spPr>
                    <a:xfrm>
                      <a:off x="0" y="0"/>
                      <a:ext cx="5943600" cy="628650"/>
                    </a:xfrm>
                    <a:prstGeom prst="rect">
                      <a:avLst/>
                    </a:prstGeom>
                  </pic:spPr>
                </pic:pic>
              </a:graphicData>
            </a:graphic>
          </wp:inline>
        </w:drawing>
      </w:r>
    </w:p>
    <w:p w14:paraId="4EE81886" w14:textId="77777777" w:rsidR="00DD2B81" w:rsidRPr="000113B8" w:rsidRDefault="00DD2B81" w:rsidP="00DD2B81">
      <w:pPr>
        <w:jc w:val="center"/>
        <w:rPr>
          <w:rFonts w:ascii="Garamond" w:hAnsi="Garamond"/>
          <w:b/>
          <w:bCs/>
          <w:color w:val="000000" w:themeColor="text1"/>
          <w:lang w:val="es-CO"/>
        </w:rPr>
      </w:pPr>
      <w:r w:rsidRPr="000113B8">
        <w:rPr>
          <w:rFonts w:ascii="Garamond" w:hAnsi="Garamond"/>
          <w:color w:val="000000" w:themeColor="text1"/>
          <w:lang w:val="es-CO"/>
        </w:rPr>
        <w:t>Fuente: Agencia Nacional de Contratación Pública Colombia Compra Eficiente (2026)</w:t>
      </w:r>
      <w:r w:rsidRPr="000113B8">
        <w:rPr>
          <w:rStyle w:val="Refdenotaalpie"/>
          <w:rFonts w:ascii="Garamond" w:hAnsi="Garamond"/>
          <w:color w:val="000000" w:themeColor="text1"/>
          <w:lang w:val="es-CO"/>
        </w:rPr>
        <w:footnoteReference w:id="9"/>
      </w:r>
    </w:p>
    <w:p w14:paraId="23CD57DC" w14:textId="77777777" w:rsidR="00E367A4" w:rsidRPr="000113B8" w:rsidRDefault="00E367A4" w:rsidP="00E367A4">
      <w:pPr>
        <w:pStyle w:val="Default"/>
        <w:jc w:val="both"/>
        <w:rPr>
          <w:rFonts w:ascii="Garamond" w:hAnsi="Garamond"/>
          <w:color w:val="000000" w:themeColor="text1"/>
          <w:sz w:val="22"/>
          <w:szCs w:val="22"/>
        </w:rPr>
      </w:pPr>
    </w:p>
    <w:p w14:paraId="422EE599" w14:textId="5EE9F28A" w:rsidR="00A50EEE" w:rsidRPr="000113B8" w:rsidRDefault="00DD2B81" w:rsidP="00E367A4">
      <w:pPr>
        <w:pStyle w:val="Default"/>
        <w:jc w:val="both"/>
        <w:rPr>
          <w:rFonts w:ascii="Garamond" w:hAnsi="Garamond"/>
          <w:color w:val="000000" w:themeColor="text1"/>
          <w:sz w:val="22"/>
          <w:szCs w:val="22"/>
          <w:lang w:val="es-ES"/>
        </w:rPr>
      </w:pPr>
      <w:r w:rsidRPr="000113B8">
        <w:rPr>
          <w:rFonts w:ascii="Garamond" w:hAnsi="Garamond"/>
          <w:color w:val="000000" w:themeColor="text1"/>
          <w:sz w:val="22"/>
          <w:szCs w:val="22"/>
          <w:lang w:val="es-ES"/>
        </w:rPr>
        <w:lastRenderedPageBreak/>
        <w:t>El análisis del código 8413, correspondiente a servicios de seguros y pensiones, específicamente el código 841316 “</w:t>
      </w:r>
      <w:r w:rsidRPr="003B5FC3">
        <w:rPr>
          <w:rFonts w:ascii="Garamond" w:hAnsi="Garamond"/>
          <w:i/>
          <w:color w:val="000000" w:themeColor="text1"/>
          <w:sz w:val="22"/>
          <w:szCs w:val="22"/>
          <w:lang w:val="es-ES"/>
        </w:rPr>
        <w:t>Servicios de vida, salud y accidentes”,</w:t>
      </w:r>
      <w:r w:rsidRPr="000113B8">
        <w:rPr>
          <w:rFonts w:ascii="Garamond" w:hAnsi="Garamond"/>
          <w:color w:val="000000" w:themeColor="text1"/>
          <w:sz w:val="22"/>
          <w:szCs w:val="22"/>
          <w:lang w:val="es-ES"/>
        </w:rPr>
        <w:t xml:space="preserve"> evidencia una participación relevante dentro de la contratación pública, con un número significativo de procesos adjudicados. Aunque su porcentaje de participación no es predominante frente a otros sectores, sí refleja una demanda constante y sostenida, lo que demuestra la importancia de estos servicios en la gestión del riesgo y la protección de los servidores públicos. En este sentido, la contratación de pólizas de vida se consolida como una necesidad recurrente y estratégica para las entidades estatales, garantizando condiciones de seguridad y bienestar para sus beneficiarios.</w:t>
      </w:r>
    </w:p>
    <w:p w14:paraId="1BBD387A" w14:textId="77777777" w:rsidR="00151495" w:rsidRPr="000113B8" w:rsidRDefault="00151495" w:rsidP="00E367A4">
      <w:pPr>
        <w:pStyle w:val="Default"/>
        <w:jc w:val="both"/>
        <w:rPr>
          <w:rFonts w:ascii="Garamond" w:hAnsi="Garamond"/>
          <w:color w:val="000000" w:themeColor="text1"/>
          <w:sz w:val="22"/>
          <w:szCs w:val="22"/>
          <w:lang w:val="es-ES"/>
        </w:rPr>
      </w:pPr>
    </w:p>
    <w:p w14:paraId="1C093768" w14:textId="0F977454" w:rsidR="00F33DDD" w:rsidRPr="000113B8" w:rsidRDefault="00DD2B81" w:rsidP="00E367A4">
      <w:pPr>
        <w:jc w:val="center"/>
        <w:rPr>
          <w:rFonts w:ascii="Garamond" w:hAnsi="Garamond"/>
          <w:noProof/>
          <w:color w:val="000000" w:themeColor="text1"/>
        </w:rPr>
      </w:pPr>
      <w:r w:rsidRPr="000113B8">
        <w:rPr>
          <w:rFonts w:ascii="Garamond" w:hAnsi="Garamond"/>
          <w:noProof/>
          <w:color w:val="000000" w:themeColor="text1"/>
        </w:rPr>
        <w:drawing>
          <wp:inline distT="0" distB="0" distL="0" distR="0" wp14:anchorId="405665D3" wp14:editId="4529D7FC">
            <wp:extent cx="3767373" cy="1830557"/>
            <wp:effectExtent l="0" t="0" r="5080" b="0"/>
            <wp:docPr id="49341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418" name=""/>
                    <pic:cNvPicPr/>
                  </pic:nvPicPr>
                  <pic:blipFill>
                    <a:blip r:embed="rId58"/>
                    <a:stretch>
                      <a:fillRect/>
                    </a:stretch>
                  </pic:blipFill>
                  <pic:spPr>
                    <a:xfrm>
                      <a:off x="0" y="0"/>
                      <a:ext cx="3786034" cy="1839624"/>
                    </a:xfrm>
                    <a:prstGeom prst="rect">
                      <a:avLst/>
                    </a:prstGeom>
                  </pic:spPr>
                </pic:pic>
              </a:graphicData>
            </a:graphic>
          </wp:inline>
        </w:drawing>
      </w:r>
    </w:p>
    <w:p w14:paraId="78E7312C" w14:textId="0A502578" w:rsidR="00E367A4" w:rsidRPr="000113B8" w:rsidRDefault="00DD2B81" w:rsidP="00093A49">
      <w:pPr>
        <w:jc w:val="center"/>
        <w:rPr>
          <w:rFonts w:ascii="Garamond" w:hAnsi="Garamond"/>
          <w:color w:val="000000" w:themeColor="text1"/>
          <w:lang w:val="es-CO"/>
        </w:rPr>
      </w:pPr>
      <w:r w:rsidRPr="000113B8">
        <w:rPr>
          <w:rFonts w:ascii="Garamond" w:hAnsi="Garamond"/>
          <w:color w:val="000000" w:themeColor="text1"/>
          <w:lang w:val="es-CO"/>
        </w:rPr>
        <w:t>F</w:t>
      </w:r>
      <w:r w:rsidR="00E367A4" w:rsidRPr="000113B8">
        <w:rPr>
          <w:rFonts w:ascii="Garamond" w:hAnsi="Garamond"/>
          <w:color w:val="000000" w:themeColor="text1"/>
          <w:lang w:val="es-CO"/>
        </w:rPr>
        <w:t>uente: Agencia Nacional de Contratación Pública Colombia Compra Eficiente (202</w:t>
      </w:r>
      <w:r w:rsidRPr="000113B8">
        <w:rPr>
          <w:rFonts w:ascii="Garamond" w:hAnsi="Garamond"/>
          <w:color w:val="000000" w:themeColor="text1"/>
          <w:lang w:val="es-CO"/>
        </w:rPr>
        <w:t>6</w:t>
      </w:r>
      <w:r w:rsidR="00E367A4" w:rsidRPr="000113B8">
        <w:rPr>
          <w:rFonts w:ascii="Garamond" w:hAnsi="Garamond"/>
          <w:color w:val="000000" w:themeColor="text1"/>
          <w:lang w:val="es-CO"/>
        </w:rPr>
        <w:t>)</w:t>
      </w:r>
      <w:r w:rsidR="00093A49" w:rsidRPr="000113B8">
        <w:rPr>
          <w:rStyle w:val="Refdenotaalpie"/>
          <w:rFonts w:ascii="Garamond" w:hAnsi="Garamond"/>
          <w:color w:val="000000" w:themeColor="text1"/>
          <w:lang w:val="es-CO"/>
        </w:rPr>
        <w:footnoteReference w:id="10"/>
      </w:r>
    </w:p>
    <w:p w14:paraId="3FBA132F" w14:textId="77777777" w:rsidR="001668B4" w:rsidRPr="000113B8" w:rsidRDefault="001668B4" w:rsidP="00093A49">
      <w:pPr>
        <w:jc w:val="center"/>
        <w:rPr>
          <w:rFonts w:ascii="Garamond" w:hAnsi="Garamond"/>
          <w:color w:val="000000" w:themeColor="text1"/>
          <w:lang w:val="es-CO"/>
        </w:rPr>
      </w:pPr>
    </w:p>
    <w:p w14:paraId="6DA06B70" w14:textId="5D347619" w:rsidR="00DD2B81" w:rsidRPr="000113B8" w:rsidRDefault="00DD2B81" w:rsidP="00DD2B81">
      <w:pPr>
        <w:jc w:val="both"/>
        <w:rPr>
          <w:rFonts w:ascii="Garamond" w:hAnsi="Garamond"/>
          <w:color w:val="000000" w:themeColor="text1"/>
          <w:lang w:val="es-CO"/>
        </w:rPr>
      </w:pPr>
      <w:r w:rsidRPr="000113B8">
        <w:rPr>
          <w:rFonts w:ascii="Garamond" w:hAnsi="Garamond"/>
          <w:color w:val="000000" w:themeColor="text1"/>
          <w:lang w:val="es-CO"/>
        </w:rPr>
        <w:t xml:space="preserve">La gráfica presentada permite analizar el comportamiento de la contratación pública asociada al código 8413, correspondientes a </w:t>
      </w:r>
      <w:r w:rsidRPr="000113B8">
        <w:rPr>
          <w:rFonts w:ascii="Garamond" w:hAnsi="Garamond"/>
          <w:noProof/>
          <w:color w:val="000000" w:themeColor="text1"/>
          <w14:ligatures w14:val="standardContextual"/>
        </w:rPr>
        <w:t>sector de servicios de seguros y pensiones</w:t>
      </w:r>
      <w:r w:rsidRPr="000113B8">
        <w:rPr>
          <w:rFonts w:ascii="Garamond" w:hAnsi="Garamond"/>
          <w:color w:val="000000" w:themeColor="text1"/>
          <w:lang w:val="es-CO"/>
        </w:rPr>
        <w:t>, durante el periodo comprendido entre 2020 y 2026. De acuerdo con la información recopilada, en este intervalo de tiempo se registra un volumen significativo de contratación, alcanzando un monto acumulado aproximado de $4.036.862.692.022, distribuido en un total de 12.696 contratos celebrados a nivel nacional.</w:t>
      </w:r>
    </w:p>
    <w:p w14:paraId="12F80206" w14:textId="77777777" w:rsidR="00DD2B81" w:rsidRPr="000113B8" w:rsidRDefault="00DD2B81" w:rsidP="00DD2B81">
      <w:pPr>
        <w:jc w:val="both"/>
        <w:rPr>
          <w:rFonts w:ascii="Garamond" w:hAnsi="Garamond"/>
          <w:color w:val="000000" w:themeColor="text1"/>
          <w:lang w:val="es-CO"/>
        </w:rPr>
      </w:pPr>
    </w:p>
    <w:p w14:paraId="5C991097" w14:textId="43098F79" w:rsidR="00DD2B81" w:rsidRPr="000113B8" w:rsidRDefault="00DD2B81" w:rsidP="00DD2B81">
      <w:pPr>
        <w:jc w:val="both"/>
        <w:rPr>
          <w:rFonts w:ascii="Garamond" w:hAnsi="Garamond"/>
          <w:color w:val="000000" w:themeColor="text1"/>
        </w:rPr>
      </w:pPr>
      <w:r w:rsidRPr="000113B8">
        <w:rPr>
          <w:rFonts w:ascii="Garamond" w:hAnsi="Garamond"/>
          <w:color w:val="000000" w:themeColor="text1"/>
        </w:rPr>
        <w:t xml:space="preserve">Asimismo, el número de procesos contractuales adelantados en esta actividad demuestra la existencia de un mercado activo, competitivo y con capacidad de respuesta, caracterizado por la participación de múltiples empresas de </w:t>
      </w:r>
      <w:r w:rsidR="003B5FC3">
        <w:rPr>
          <w:rFonts w:ascii="Garamond" w:hAnsi="Garamond"/>
          <w:color w:val="000000" w:themeColor="text1"/>
        </w:rPr>
        <w:t xml:space="preserve">seguros </w:t>
      </w:r>
      <w:r w:rsidRPr="000113B8">
        <w:rPr>
          <w:rFonts w:ascii="Garamond" w:hAnsi="Garamond"/>
          <w:color w:val="000000" w:themeColor="text1"/>
        </w:rPr>
        <w:t xml:space="preserve">que ofertan servicios bajo diferentes modalidades contractuales. </w:t>
      </w:r>
    </w:p>
    <w:p w14:paraId="771E5508" w14:textId="77777777" w:rsidR="00DD2B81" w:rsidRPr="000113B8" w:rsidRDefault="00DD2B81" w:rsidP="00DD2B81">
      <w:pPr>
        <w:jc w:val="both"/>
        <w:rPr>
          <w:rFonts w:ascii="Garamond" w:hAnsi="Garamond"/>
          <w:color w:val="000000" w:themeColor="text1"/>
        </w:rPr>
      </w:pPr>
    </w:p>
    <w:p w14:paraId="61B10E7D" w14:textId="77777777" w:rsidR="00DD2B81" w:rsidRPr="000113B8" w:rsidRDefault="00DD2B81" w:rsidP="00DD2B81">
      <w:pPr>
        <w:jc w:val="both"/>
        <w:rPr>
          <w:rFonts w:ascii="Garamond" w:hAnsi="Garamond"/>
          <w:color w:val="000000" w:themeColor="text1"/>
        </w:rPr>
      </w:pPr>
      <w:r w:rsidRPr="000113B8">
        <w:rPr>
          <w:rFonts w:ascii="Garamond" w:hAnsi="Garamond"/>
          <w:color w:val="000000" w:themeColor="text1"/>
        </w:rPr>
        <w:t>Esta pluralidad de oferentes favorece condiciones de competencia que permiten a las entidades estatales optimizar los recursos públicos, acceder a mejores condiciones económicas y asegurar estándares adecuados de calidad, seguridad y continuidad en la prestación del servicio.</w:t>
      </w:r>
    </w:p>
    <w:p w14:paraId="6085B18B" w14:textId="77777777" w:rsidR="00DD2B81" w:rsidRPr="000113B8" w:rsidRDefault="00DD2B81" w:rsidP="00DD2B81">
      <w:pPr>
        <w:jc w:val="both"/>
        <w:rPr>
          <w:rFonts w:ascii="Garamond" w:hAnsi="Garamond"/>
          <w:color w:val="000000" w:themeColor="text1"/>
        </w:rPr>
      </w:pPr>
    </w:p>
    <w:p w14:paraId="03F8FD10" w14:textId="1A214A94" w:rsidR="00DD2B81" w:rsidRPr="000113B8" w:rsidRDefault="00DD2B81" w:rsidP="00DD2B81">
      <w:pPr>
        <w:jc w:val="both"/>
        <w:rPr>
          <w:rFonts w:ascii="Garamond" w:hAnsi="Garamond"/>
          <w:color w:val="000000" w:themeColor="text1"/>
        </w:rPr>
      </w:pPr>
      <w:r w:rsidRPr="000113B8">
        <w:rPr>
          <w:rFonts w:ascii="Garamond" w:hAnsi="Garamond"/>
          <w:color w:val="000000" w:themeColor="text1"/>
        </w:rPr>
        <w:t xml:space="preserve">Desde la perspectiva financiera, la contratación del servicio de </w:t>
      </w:r>
      <w:r w:rsidRPr="000113B8">
        <w:rPr>
          <w:rFonts w:ascii="Garamond" w:hAnsi="Garamond"/>
          <w:noProof/>
          <w:color w:val="000000" w:themeColor="text1"/>
          <w14:ligatures w14:val="standardContextual"/>
        </w:rPr>
        <w:t>seguros y pensiones</w:t>
      </w:r>
      <w:r w:rsidRPr="000113B8">
        <w:rPr>
          <w:rFonts w:ascii="Garamond" w:hAnsi="Garamond"/>
          <w:color w:val="000000" w:themeColor="text1"/>
        </w:rPr>
        <w:t xml:space="preserve"> presenta una alta incidencia en la ejecución presupuestal, dado que permite la materialización efectiva de proyectos territoriales, el desplazamiento de equipos técnicos y administrativos, así como el cumplimiento de metas institucionales asociadas a la presencia del Estado en el territorio.</w:t>
      </w:r>
    </w:p>
    <w:p w14:paraId="30EE8706" w14:textId="77777777" w:rsidR="000F030C" w:rsidRPr="000113B8" w:rsidRDefault="000F030C" w:rsidP="00C36E43">
      <w:pPr>
        <w:rPr>
          <w:rFonts w:ascii="Garamond" w:hAnsi="Garamond"/>
          <w:b/>
          <w:bCs/>
          <w:color w:val="000000" w:themeColor="text1"/>
        </w:rPr>
      </w:pPr>
    </w:p>
    <w:p w14:paraId="36F9C83D" w14:textId="2F3F9B92" w:rsidR="004F5681" w:rsidRPr="000113B8" w:rsidRDefault="00151495" w:rsidP="00C54B99">
      <w:pPr>
        <w:pStyle w:val="Prrafodelista"/>
        <w:numPr>
          <w:ilvl w:val="0"/>
          <w:numId w:val="25"/>
        </w:numPr>
        <w:rPr>
          <w:rFonts w:ascii="Garamond" w:hAnsi="Garamond"/>
          <w:b/>
          <w:bCs/>
          <w:color w:val="000000" w:themeColor="text1"/>
        </w:rPr>
      </w:pPr>
      <w:r w:rsidRPr="000113B8">
        <w:rPr>
          <w:rFonts w:ascii="Garamond" w:hAnsi="Garamond"/>
          <w:b/>
          <w:bCs/>
          <w:color w:val="000000" w:themeColor="text1"/>
        </w:rPr>
        <w:t>Gasto en el Sector</w:t>
      </w:r>
    </w:p>
    <w:p w14:paraId="77227AAE" w14:textId="77777777" w:rsidR="00C36E43" w:rsidRPr="000113B8" w:rsidRDefault="00C36E43" w:rsidP="00C36E43">
      <w:pPr>
        <w:rPr>
          <w:rFonts w:ascii="Garamond" w:hAnsi="Garamond"/>
          <w:b/>
          <w:bCs/>
          <w:color w:val="000000" w:themeColor="text1"/>
        </w:rPr>
      </w:pPr>
    </w:p>
    <w:p w14:paraId="72432F50" w14:textId="60540A30" w:rsidR="00DD2B81" w:rsidRPr="000113B8" w:rsidRDefault="00DD2B81" w:rsidP="00DD2B81">
      <w:pPr>
        <w:jc w:val="both"/>
        <w:rPr>
          <w:rFonts w:ascii="Garamond" w:hAnsi="Garamond"/>
          <w:b/>
          <w:noProof/>
          <w:color w:val="000000" w:themeColor="text1"/>
        </w:rPr>
      </w:pPr>
      <w:r w:rsidRPr="000113B8">
        <w:rPr>
          <w:rFonts w:ascii="Garamond" w:hAnsi="Garamond"/>
          <w:color w:val="000000" w:themeColor="text1"/>
        </w:rPr>
        <w:t xml:space="preserve">El análisis de la demanda, elaborado a partir de la información reportada en la plataforma MAE de la Agencia Nacional de Contratación Pública – Colombia Compra Eficiente, permite identificar las tendencias relacionadas con el sector de servicios de </w:t>
      </w:r>
      <w:r w:rsidR="003B5FC3">
        <w:rPr>
          <w:rFonts w:ascii="Garamond" w:hAnsi="Garamond"/>
          <w:color w:val="000000" w:themeColor="text1"/>
        </w:rPr>
        <w:t>seguro</w:t>
      </w:r>
      <w:r w:rsidRPr="000113B8">
        <w:rPr>
          <w:rFonts w:ascii="Garamond" w:hAnsi="Garamond"/>
          <w:color w:val="000000" w:themeColor="text1"/>
        </w:rPr>
        <w:t xml:space="preserve"> durante el periodo comprendido entre 2020 y 2026. Este comportamiento refleja la evolución del gasto y la cantidad de contratos suscritos por las entidades públicas, evidenciando un incremento progresivo en</w:t>
      </w:r>
      <w:r w:rsidR="003B5FC3">
        <w:rPr>
          <w:rFonts w:ascii="Garamond" w:hAnsi="Garamond"/>
          <w:color w:val="000000" w:themeColor="text1"/>
        </w:rPr>
        <w:t xml:space="preserve"> la prestación de servicios de seguros de vida.</w:t>
      </w:r>
    </w:p>
    <w:p w14:paraId="4A75E37D" w14:textId="77777777" w:rsidR="00A67C28" w:rsidRPr="000113B8" w:rsidRDefault="00A67C28" w:rsidP="00DD2B81">
      <w:pPr>
        <w:pStyle w:val="Default"/>
        <w:jc w:val="both"/>
        <w:rPr>
          <w:rFonts w:ascii="Garamond" w:hAnsi="Garamond"/>
          <w:b/>
          <w:noProof/>
          <w:color w:val="000000" w:themeColor="text1"/>
          <w:sz w:val="22"/>
          <w:szCs w:val="22"/>
          <w:lang w:val="es-ES"/>
        </w:rPr>
      </w:pPr>
    </w:p>
    <w:p w14:paraId="742F4F16" w14:textId="6A139700" w:rsidR="00F33DDD" w:rsidRPr="000113B8" w:rsidRDefault="006B01BB" w:rsidP="00A67C28">
      <w:pPr>
        <w:pStyle w:val="Default"/>
        <w:jc w:val="center"/>
        <w:rPr>
          <w:rFonts w:ascii="Garamond" w:hAnsi="Garamond"/>
          <w:noProof/>
          <w:color w:val="000000" w:themeColor="text1"/>
          <w:sz w:val="22"/>
          <w:szCs w:val="22"/>
          <w14:ligatures w14:val="none"/>
        </w:rPr>
      </w:pPr>
      <w:r w:rsidRPr="000113B8">
        <w:rPr>
          <w:rFonts w:ascii="Garamond" w:hAnsi="Garamond"/>
          <w:noProof/>
          <w:color w:val="000000" w:themeColor="text1"/>
          <w:sz w:val="22"/>
          <w:szCs w:val="22"/>
        </w:rPr>
        <w:drawing>
          <wp:inline distT="0" distB="0" distL="0" distR="0" wp14:anchorId="0BD4A7CA" wp14:editId="5FE24C81">
            <wp:extent cx="3752850" cy="2650476"/>
            <wp:effectExtent l="0" t="0" r="0" b="0"/>
            <wp:docPr id="24156704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567048" name=""/>
                    <pic:cNvPicPr/>
                  </pic:nvPicPr>
                  <pic:blipFill>
                    <a:blip r:embed="rId59"/>
                    <a:stretch>
                      <a:fillRect/>
                    </a:stretch>
                  </pic:blipFill>
                  <pic:spPr>
                    <a:xfrm>
                      <a:off x="0" y="0"/>
                      <a:ext cx="3766994" cy="2660465"/>
                    </a:xfrm>
                    <a:prstGeom prst="rect">
                      <a:avLst/>
                    </a:prstGeom>
                  </pic:spPr>
                </pic:pic>
              </a:graphicData>
            </a:graphic>
          </wp:inline>
        </w:drawing>
      </w:r>
    </w:p>
    <w:p w14:paraId="411EE860" w14:textId="607EBA74" w:rsidR="00E70C40" w:rsidRPr="000113B8" w:rsidRDefault="00E70C40" w:rsidP="00E70C40">
      <w:pPr>
        <w:jc w:val="center"/>
        <w:rPr>
          <w:rFonts w:ascii="Garamond" w:hAnsi="Garamond"/>
          <w:color w:val="000000" w:themeColor="text1"/>
          <w:lang w:val="es-CO"/>
        </w:rPr>
      </w:pPr>
      <w:r w:rsidRPr="000113B8">
        <w:rPr>
          <w:rFonts w:ascii="Garamond" w:hAnsi="Garamond"/>
          <w:color w:val="000000" w:themeColor="text1"/>
          <w:lang w:val="es-CO"/>
        </w:rPr>
        <w:t>Fuente: Agencia Nacional de Contratación Pública Colombia Compra Eficiente (202</w:t>
      </w:r>
      <w:r w:rsidR="006B01BB" w:rsidRPr="000113B8">
        <w:rPr>
          <w:rFonts w:ascii="Garamond" w:hAnsi="Garamond"/>
          <w:color w:val="000000" w:themeColor="text1"/>
          <w:lang w:val="es-CO"/>
        </w:rPr>
        <w:t>6</w:t>
      </w:r>
      <w:r w:rsidRPr="000113B8">
        <w:rPr>
          <w:rFonts w:ascii="Garamond" w:hAnsi="Garamond"/>
          <w:color w:val="000000" w:themeColor="text1"/>
          <w:lang w:val="es-CO"/>
        </w:rPr>
        <w:t>)</w:t>
      </w:r>
      <w:r w:rsidRPr="000113B8">
        <w:rPr>
          <w:rStyle w:val="Refdenotaalpie"/>
          <w:rFonts w:ascii="Garamond" w:hAnsi="Garamond"/>
          <w:color w:val="000000" w:themeColor="text1"/>
          <w:lang w:val="es-CO"/>
        </w:rPr>
        <w:footnoteReference w:id="11"/>
      </w:r>
    </w:p>
    <w:p w14:paraId="78C3DFCF" w14:textId="77777777" w:rsidR="001668B4" w:rsidRPr="000113B8" w:rsidRDefault="001668B4" w:rsidP="00E70C40">
      <w:pPr>
        <w:jc w:val="center"/>
        <w:rPr>
          <w:rFonts w:ascii="Garamond" w:hAnsi="Garamond"/>
          <w:color w:val="000000" w:themeColor="text1"/>
          <w:lang w:val="es-CO"/>
        </w:rPr>
      </w:pPr>
    </w:p>
    <w:p w14:paraId="2783AD7E" w14:textId="2C024BB9" w:rsidR="004F5681" w:rsidRPr="000113B8" w:rsidRDefault="00151495" w:rsidP="00C54B99">
      <w:pPr>
        <w:pStyle w:val="Prrafodelista"/>
        <w:numPr>
          <w:ilvl w:val="0"/>
          <w:numId w:val="25"/>
        </w:numPr>
        <w:rPr>
          <w:rFonts w:ascii="Garamond" w:hAnsi="Garamond"/>
          <w:b/>
          <w:bCs/>
          <w:color w:val="000000" w:themeColor="text1"/>
        </w:rPr>
      </w:pPr>
      <w:r w:rsidRPr="000113B8">
        <w:rPr>
          <w:rFonts w:ascii="Garamond" w:hAnsi="Garamond"/>
          <w:b/>
          <w:bCs/>
          <w:color w:val="000000" w:themeColor="text1"/>
        </w:rPr>
        <w:t>Proveedores</w:t>
      </w:r>
    </w:p>
    <w:p w14:paraId="19CC2BD1" w14:textId="77777777" w:rsidR="00C36E43" w:rsidRPr="000113B8" w:rsidRDefault="00C36E43" w:rsidP="00C36E43">
      <w:pPr>
        <w:rPr>
          <w:rFonts w:ascii="Garamond" w:hAnsi="Garamond"/>
          <w:b/>
          <w:bCs/>
          <w:color w:val="000000" w:themeColor="text1"/>
        </w:rPr>
      </w:pPr>
    </w:p>
    <w:p w14:paraId="362D90F9" w14:textId="77777777" w:rsidR="006B01BB" w:rsidRPr="000113B8" w:rsidRDefault="006B01BB" w:rsidP="006B01BB">
      <w:pPr>
        <w:jc w:val="both"/>
        <w:rPr>
          <w:rFonts w:ascii="Garamond" w:hAnsi="Garamond"/>
          <w:color w:val="000000" w:themeColor="text1"/>
        </w:rPr>
      </w:pPr>
      <w:r w:rsidRPr="000113B8">
        <w:rPr>
          <w:rFonts w:ascii="Garamond" w:hAnsi="Garamond"/>
          <w:color w:val="000000" w:themeColor="text1"/>
        </w:rPr>
        <w:t>A partir del análisis de la información correspondiente al periodo 2020–2026, es posible observar que el comportamiento del gasto anual asociado a los procesos de contratación no presenta una tendencia de crecimiento lineal o progresiva año tras año. Por el contrario, se evidencian variaciones significativas entre los periodos analizados, lo cual refleja la dinámica propia de la inversión pública, influenciada por factores como la disponibilidad presupuestal de las entidades, los ciclos de planeación institucional, la priorización de proyectos de inversión y las condiciones económicas generales del país.</w:t>
      </w:r>
    </w:p>
    <w:p w14:paraId="0D1F7BF3" w14:textId="77777777" w:rsidR="006B01BB" w:rsidRPr="000113B8" w:rsidRDefault="006B01BB" w:rsidP="006B01BB">
      <w:pPr>
        <w:rPr>
          <w:rFonts w:ascii="Garamond" w:hAnsi="Garamond"/>
          <w:color w:val="000000" w:themeColor="text1"/>
        </w:rPr>
      </w:pPr>
    </w:p>
    <w:p w14:paraId="0BE2C471" w14:textId="2636DC43" w:rsidR="006B01BB" w:rsidRPr="000113B8" w:rsidRDefault="006B01BB" w:rsidP="006B01BB">
      <w:pPr>
        <w:jc w:val="both"/>
        <w:rPr>
          <w:rFonts w:ascii="Garamond" w:hAnsi="Garamond"/>
          <w:color w:val="000000" w:themeColor="text1"/>
        </w:rPr>
      </w:pPr>
      <w:r w:rsidRPr="000113B8">
        <w:rPr>
          <w:rFonts w:ascii="Garamond" w:hAnsi="Garamond"/>
          <w:color w:val="000000" w:themeColor="text1"/>
        </w:rPr>
        <w:t>En este contexto, el nivel de participación más bajo dentro del periodo analizado se registró en el año 2020, con un valor aproximado de $350 billones, situación que puede estar asociada a las condiciones económicas y administrativas que impactaron la ejecución presupuestal en ese periodo. Posteriormente, para el año 2021, se evidencia un incremento significativo en el volumen de contratación, alcanzando un valor cercano a $422 billones, lo que representa una recuperación importante en la dinámica contractual.</w:t>
      </w:r>
    </w:p>
    <w:p w14:paraId="1596C825" w14:textId="77777777" w:rsidR="006B01BB" w:rsidRPr="000113B8" w:rsidRDefault="006B01BB" w:rsidP="006B01BB">
      <w:pPr>
        <w:jc w:val="both"/>
        <w:rPr>
          <w:rFonts w:ascii="Garamond" w:hAnsi="Garamond"/>
          <w:color w:val="000000" w:themeColor="text1"/>
        </w:rPr>
      </w:pPr>
    </w:p>
    <w:p w14:paraId="5488E38B" w14:textId="1B198F45" w:rsidR="006B01BB" w:rsidRPr="000113B8" w:rsidRDefault="006B01BB" w:rsidP="006B01BB">
      <w:pPr>
        <w:jc w:val="both"/>
        <w:rPr>
          <w:rFonts w:ascii="Garamond" w:hAnsi="Garamond"/>
          <w:color w:val="000000" w:themeColor="text1"/>
        </w:rPr>
      </w:pPr>
      <w:r w:rsidRPr="000113B8">
        <w:rPr>
          <w:rFonts w:ascii="Garamond" w:hAnsi="Garamond"/>
          <w:color w:val="000000" w:themeColor="text1"/>
        </w:rPr>
        <w:t>Para el año 2022, se observa nuevamente un crecimiento mucho mayor en la participación del gasto, registrando un valor aproximado de $1.340 billones, lo que indica una tendencia de fortalecimiento en la ejecución de recursos destinados a procesos contractuales. Esta tendencia para el año 2023, periodo en el cual se registra una participación menos significativa, alcanzando un valor cercano a $424 billones, reflejando un menor nivel de inversión pública y ejecución de proyectos por parte de las entidades estatales.</w:t>
      </w:r>
    </w:p>
    <w:p w14:paraId="228E3CDD" w14:textId="77777777" w:rsidR="006B01BB" w:rsidRPr="000113B8" w:rsidRDefault="006B01BB" w:rsidP="006B01BB">
      <w:pPr>
        <w:jc w:val="both"/>
        <w:rPr>
          <w:rFonts w:ascii="Garamond" w:hAnsi="Garamond"/>
          <w:color w:val="000000" w:themeColor="text1"/>
        </w:rPr>
      </w:pPr>
    </w:p>
    <w:p w14:paraId="45C1BD4E" w14:textId="763D49C4" w:rsidR="006B01BB" w:rsidRPr="000113B8" w:rsidRDefault="006B01BB" w:rsidP="006B01BB">
      <w:pPr>
        <w:jc w:val="both"/>
        <w:rPr>
          <w:rFonts w:ascii="Garamond" w:hAnsi="Garamond"/>
          <w:color w:val="000000" w:themeColor="text1"/>
        </w:rPr>
      </w:pPr>
      <w:r w:rsidRPr="000113B8">
        <w:rPr>
          <w:rFonts w:ascii="Garamond" w:hAnsi="Garamond"/>
          <w:color w:val="000000" w:themeColor="text1"/>
        </w:rPr>
        <w:t>No obstante, para el año 2024 se presenta un crecimiento en el volumen de contratación, situándose en aproximadamente $564 billones, lo cual evidencia nuevamente la fluctuación natural de la contratación pública dependiendo de los ciclos presupuestales y de planificación institucional. Posteriormente, en el año 2025, se evidencia un crecimiento considerable en el nivel de contratación, alcanzando aproximadamente $617 billones, lo que representa uno de los niveles más altos de participación dentro del periodo analizado.</w:t>
      </w:r>
    </w:p>
    <w:p w14:paraId="34883D11" w14:textId="77777777" w:rsidR="006B01BB" w:rsidRPr="000113B8" w:rsidRDefault="006B01BB" w:rsidP="006B01BB">
      <w:pPr>
        <w:jc w:val="both"/>
        <w:rPr>
          <w:rFonts w:ascii="Garamond" w:hAnsi="Garamond"/>
          <w:color w:val="000000" w:themeColor="text1"/>
        </w:rPr>
      </w:pPr>
    </w:p>
    <w:p w14:paraId="699B85F2" w14:textId="2BBA6374" w:rsidR="006B01BB" w:rsidRPr="000113B8" w:rsidRDefault="006B01BB" w:rsidP="006B01BB">
      <w:pPr>
        <w:jc w:val="both"/>
        <w:rPr>
          <w:rFonts w:ascii="Garamond" w:hAnsi="Garamond"/>
          <w:color w:val="000000" w:themeColor="text1"/>
        </w:rPr>
      </w:pPr>
      <w:r w:rsidRPr="000113B8">
        <w:rPr>
          <w:rFonts w:ascii="Garamond" w:hAnsi="Garamond"/>
          <w:color w:val="000000" w:themeColor="text1"/>
        </w:rPr>
        <w:t xml:space="preserve">Finalmente, para el año 2026, con corte a la fecha del análisis, se registra una participación aproximada de $91 </w:t>
      </w:r>
      <w:r w:rsidRPr="000113B8">
        <w:rPr>
          <w:rFonts w:ascii="Garamond" w:hAnsi="Garamond"/>
          <w:color w:val="000000" w:themeColor="text1"/>
        </w:rPr>
        <w:lastRenderedPageBreak/>
        <w:t>billones, cifra que corresponde a la ejecución parcial del año y que, por lo tanto, puede presentar variaciones a medida que avance la vigencia fiscal y se adelanten nuevos procesos contractuales.</w:t>
      </w:r>
    </w:p>
    <w:p w14:paraId="0E6E8DC7" w14:textId="77777777" w:rsidR="006B01BB" w:rsidRPr="000113B8" w:rsidRDefault="006B01BB" w:rsidP="006B01BB">
      <w:pPr>
        <w:jc w:val="both"/>
        <w:rPr>
          <w:rFonts w:ascii="Garamond" w:hAnsi="Garamond"/>
          <w:color w:val="000000" w:themeColor="text1"/>
        </w:rPr>
      </w:pPr>
    </w:p>
    <w:p w14:paraId="4241BE3F" w14:textId="77777777" w:rsidR="006B01BB" w:rsidRPr="000113B8" w:rsidRDefault="006B01BB" w:rsidP="006B01BB">
      <w:pPr>
        <w:jc w:val="both"/>
        <w:rPr>
          <w:rFonts w:ascii="Garamond" w:hAnsi="Garamond"/>
          <w:color w:val="000000" w:themeColor="text1"/>
        </w:rPr>
      </w:pPr>
      <w:r w:rsidRPr="000113B8">
        <w:rPr>
          <w:rFonts w:ascii="Garamond" w:hAnsi="Garamond"/>
          <w:color w:val="000000" w:themeColor="text1"/>
        </w:rPr>
        <w:t>En términos generales, el comportamiento observado durante el periodo 2020–2026 evidencia que el sector presenta una dinámica variable pero activa, caracterizada por fluctuaciones en el volumen de contratación que responden a las condiciones presupuestales, los planes de inversión de las entidades públicas y las prioridades de desarrollo territorial. Este comportamiento confirma la existencia de un mercado con actividad constante, lo cual resulta relevante para la estructuración y viabilidad de futuros procesos contractuales dentro del sector analizado.</w:t>
      </w:r>
    </w:p>
    <w:p w14:paraId="4E674EDD" w14:textId="56A74B8F" w:rsidR="008E5284" w:rsidRPr="000113B8" w:rsidRDefault="006B01BB" w:rsidP="0007695C">
      <w:pPr>
        <w:jc w:val="center"/>
        <w:rPr>
          <w:rFonts w:ascii="Garamond" w:hAnsi="Garamond"/>
          <w:noProof/>
          <w:color w:val="000000" w:themeColor="text1"/>
        </w:rPr>
      </w:pPr>
      <w:r w:rsidRPr="000113B8">
        <w:rPr>
          <w:rFonts w:ascii="Garamond" w:hAnsi="Garamond"/>
          <w:noProof/>
          <w:color w:val="000000" w:themeColor="text1"/>
        </w:rPr>
        <w:drawing>
          <wp:inline distT="0" distB="0" distL="0" distR="0" wp14:anchorId="6B0A801E" wp14:editId="08468F86">
            <wp:extent cx="4407481" cy="1421130"/>
            <wp:effectExtent l="0" t="0" r="0" b="7620"/>
            <wp:docPr id="186498750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987503" name=""/>
                    <pic:cNvPicPr/>
                  </pic:nvPicPr>
                  <pic:blipFill>
                    <a:blip r:embed="rId60"/>
                    <a:stretch>
                      <a:fillRect/>
                    </a:stretch>
                  </pic:blipFill>
                  <pic:spPr>
                    <a:xfrm>
                      <a:off x="0" y="0"/>
                      <a:ext cx="4414856" cy="1423508"/>
                    </a:xfrm>
                    <a:prstGeom prst="rect">
                      <a:avLst/>
                    </a:prstGeom>
                  </pic:spPr>
                </pic:pic>
              </a:graphicData>
            </a:graphic>
          </wp:inline>
        </w:drawing>
      </w:r>
    </w:p>
    <w:p w14:paraId="061216B2" w14:textId="1DB88748" w:rsidR="00C36E43" w:rsidRPr="000113B8" w:rsidRDefault="00FC2638" w:rsidP="00FC2638">
      <w:pPr>
        <w:jc w:val="center"/>
        <w:rPr>
          <w:rFonts w:ascii="Garamond" w:hAnsi="Garamond"/>
          <w:color w:val="000000" w:themeColor="text1"/>
          <w:lang w:val="es-CO"/>
        </w:rPr>
      </w:pPr>
      <w:r w:rsidRPr="000113B8">
        <w:rPr>
          <w:rFonts w:ascii="Garamond" w:hAnsi="Garamond"/>
          <w:color w:val="000000" w:themeColor="text1"/>
          <w:lang w:val="es-CO"/>
        </w:rPr>
        <w:t>Fuente: Agencia Nacional de Contratación Pública Colombia Compra Eficiente (202</w:t>
      </w:r>
      <w:r w:rsidR="006B01BB" w:rsidRPr="000113B8">
        <w:rPr>
          <w:rFonts w:ascii="Garamond" w:hAnsi="Garamond"/>
          <w:color w:val="000000" w:themeColor="text1"/>
          <w:lang w:val="es-CO"/>
        </w:rPr>
        <w:t>6</w:t>
      </w:r>
      <w:r w:rsidRPr="000113B8">
        <w:rPr>
          <w:rFonts w:ascii="Garamond" w:hAnsi="Garamond"/>
          <w:color w:val="000000" w:themeColor="text1"/>
          <w:lang w:val="es-CO"/>
        </w:rPr>
        <w:t>)</w:t>
      </w:r>
      <w:r w:rsidRPr="000113B8">
        <w:rPr>
          <w:rStyle w:val="Refdenotaalpie"/>
          <w:rFonts w:ascii="Garamond" w:hAnsi="Garamond"/>
          <w:color w:val="000000" w:themeColor="text1"/>
          <w:lang w:val="es-CO"/>
        </w:rPr>
        <w:footnoteReference w:id="12"/>
      </w:r>
    </w:p>
    <w:p w14:paraId="576DAFA1" w14:textId="77777777" w:rsidR="00C36E43" w:rsidRPr="000113B8" w:rsidRDefault="00C36E43" w:rsidP="00C36E43">
      <w:pPr>
        <w:rPr>
          <w:rFonts w:ascii="Garamond" w:hAnsi="Garamond"/>
          <w:b/>
          <w:bCs/>
          <w:color w:val="000000" w:themeColor="text1"/>
        </w:rPr>
      </w:pPr>
    </w:p>
    <w:p w14:paraId="2CD99CA7" w14:textId="6F359643" w:rsidR="006B01BB" w:rsidRPr="000113B8" w:rsidRDefault="006B01BB" w:rsidP="006B01BB">
      <w:pPr>
        <w:jc w:val="both"/>
        <w:rPr>
          <w:rFonts w:ascii="Garamond" w:hAnsi="Garamond"/>
          <w:b/>
          <w:bCs/>
          <w:color w:val="000000" w:themeColor="text1"/>
        </w:rPr>
      </w:pPr>
      <w:r w:rsidRPr="000113B8">
        <w:rPr>
          <w:rFonts w:ascii="Garamond" w:hAnsi="Garamond" w:cs="Arial"/>
          <w:color w:val="000000" w:themeColor="text1"/>
          <w:lang w:val="es-CO"/>
        </w:rPr>
        <w:t xml:space="preserve">En conclusión, el análisis del origen geográfico de los proveedores permite evidenciar que el mercado asociado al sector analizado presenta una distribución territorial diversa, en la que participan empresas provenientes de diferentes departamentos del país. Si bien se observa una mayor concentración de proveedores en regiones con </w:t>
      </w:r>
      <w:r w:rsidR="00CB26C6" w:rsidRPr="000113B8">
        <w:rPr>
          <w:rFonts w:ascii="Garamond" w:hAnsi="Garamond" w:cs="Arial"/>
          <w:color w:val="000000" w:themeColor="text1"/>
          <w:lang w:val="es-CO"/>
        </w:rPr>
        <w:t>m</w:t>
      </w:r>
      <w:r w:rsidRPr="000113B8">
        <w:rPr>
          <w:rFonts w:ascii="Garamond" w:hAnsi="Garamond" w:cs="Arial"/>
          <w:color w:val="000000" w:themeColor="text1"/>
          <w:lang w:val="es-CO"/>
        </w:rPr>
        <w:t>ayor desarrollo empresarial como Bogotá D.C., Antioquia y Cundinamarca,</w:t>
      </w:r>
      <w:r w:rsidR="00CB26C6" w:rsidRPr="000113B8">
        <w:rPr>
          <w:rFonts w:ascii="Garamond" w:hAnsi="Garamond" w:cs="Arial"/>
          <w:color w:val="000000" w:themeColor="text1"/>
          <w:lang w:val="es-CO"/>
        </w:rPr>
        <w:t xml:space="preserve"> Valle del Cauca las</w:t>
      </w:r>
      <w:r w:rsidRPr="000113B8">
        <w:rPr>
          <w:rFonts w:ascii="Garamond" w:hAnsi="Garamond" w:cs="Arial"/>
          <w:color w:val="000000" w:themeColor="text1"/>
          <w:lang w:val="es-CO"/>
        </w:rPr>
        <w:t xml:space="preserve"> cuales concentran una proporción significativa del valor contratado, también se identifica la participación de empresas ubicadas en otros departamentos como Tolima, Meta, Norte de Santander, Cauca y Bolívar, entre otros, lo que evidencia una presencia amplia de actores en el mercado</w:t>
      </w:r>
    </w:p>
    <w:p w14:paraId="00DCF2BB" w14:textId="77777777" w:rsidR="006B01BB" w:rsidRPr="000113B8" w:rsidRDefault="006B01BB" w:rsidP="00C36E43">
      <w:pPr>
        <w:rPr>
          <w:rFonts w:ascii="Garamond" w:hAnsi="Garamond"/>
          <w:b/>
          <w:bCs/>
          <w:color w:val="000000" w:themeColor="text1"/>
        </w:rPr>
      </w:pPr>
    </w:p>
    <w:p w14:paraId="01A392BE" w14:textId="6EF97020" w:rsidR="004F5681" w:rsidRPr="000113B8" w:rsidRDefault="00151495" w:rsidP="00C54B99">
      <w:pPr>
        <w:pStyle w:val="Prrafodelista"/>
        <w:numPr>
          <w:ilvl w:val="0"/>
          <w:numId w:val="25"/>
        </w:numPr>
        <w:rPr>
          <w:rFonts w:ascii="Garamond" w:hAnsi="Garamond"/>
          <w:b/>
          <w:bCs/>
          <w:color w:val="000000" w:themeColor="text1"/>
        </w:rPr>
      </w:pPr>
      <w:r w:rsidRPr="000113B8">
        <w:rPr>
          <w:rFonts w:ascii="Garamond" w:hAnsi="Garamond"/>
          <w:b/>
          <w:bCs/>
          <w:color w:val="000000" w:themeColor="text1"/>
        </w:rPr>
        <w:t>Forma de Pago</w:t>
      </w:r>
    </w:p>
    <w:p w14:paraId="28D274B3" w14:textId="77777777" w:rsidR="00C36E43" w:rsidRPr="000113B8" w:rsidRDefault="00C36E43" w:rsidP="00C36E43">
      <w:pPr>
        <w:rPr>
          <w:rFonts w:ascii="Garamond" w:hAnsi="Garamond"/>
          <w:b/>
          <w:bCs/>
          <w:color w:val="000000" w:themeColor="text1"/>
        </w:rPr>
      </w:pPr>
    </w:p>
    <w:p w14:paraId="3D6296D1" w14:textId="37E5FEE7" w:rsidR="00D55BCE" w:rsidRPr="000113B8" w:rsidRDefault="000E7EE5" w:rsidP="00F3709E">
      <w:pPr>
        <w:jc w:val="both"/>
        <w:rPr>
          <w:rFonts w:ascii="Garamond" w:eastAsia="Garamond" w:hAnsi="Garamond" w:cs="Garamond"/>
          <w:color w:val="000000" w:themeColor="text1"/>
        </w:rPr>
      </w:pPr>
      <w:r w:rsidRPr="000113B8">
        <w:rPr>
          <w:rFonts w:ascii="Garamond" w:eastAsia="Garamond" w:hAnsi="Garamond" w:cs="Garamond"/>
          <w:color w:val="000000" w:themeColor="text1"/>
        </w:rPr>
        <w:t>De acuerdo con los procesos contractuales de objeto similar analizados en cuatro (4) entidades públicas diferentes a la localidad de Sumapaz, se evidenció que la forma de pago adoptada de manera reiterada corresponde a un pago único, condicionado al cumplimiento integral de las obligaciones contractuales y a la respectiva verificación por parte de la entidad contratante. En concordancia con estas prácticas y los lineamientos establecidos por la Alcaldía Local de Sumapaz, se determina que para el presente proceso se realizará un único pago a treinta (30) días calendario, lo cual permite asegurar una adecuada programación financiera, el cumplimiento oportuno de las obligaciones contractuales y un manejo eficiente y controlado de los recursos públicos.</w:t>
      </w:r>
    </w:p>
    <w:p w14:paraId="61D0BB54" w14:textId="77777777" w:rsidR="000E7EE5" w:rsidRPr="000113B8" w:rsidRDefault="000E7EE5" w:rsidP="00F3709E">
      <w:pPr>
        <w:jc w:val="both"/>
        <w:rPr>
          <w:rFonts w:ascii="Garamond" w:eastAsia="Garamond" w:hAnsi="Garamond" w:cs="Garamond"/>
          <w:color w:val="000000" w:themeColor="text1"/>
        </w:rPr>
      </w:pPr>
    </w:p>
    <w:p w14:paraId="78E78D23" w14:textId="77777777" w:rsidR="000E7EE5" w:rsidRPr="000113B8" w:rsidRDefault="00F3709E" w:rsidP="000E7EE5">
      <w:pPr>
        <w:jc w:val="both"/>
        <w:rPr>
          <w:rFonts w:ascii="Garamond" w:hAnsi="Garamond" w:cs="Arial"/>
          <w:color w:val="000000" w:themeColor="text1"/>
          <w:lang w:val="es-ES_tradnl"/>
        </w:rPr>
      </w:pPr>
      <w:r w:rsidRPr="000113B8">
        <w:rPr>
          <w:rFonts w:ascii="Garamond" w:eastAsia="Garamond" w:hAnsi="Garamond" w:cs="Garamond"/>
          <w:color w:val="000000" w:themeColor="text1"/>
          <w:lang w:val="es-CO"/>
        </w:rPr>
        <w:t xml:space="preserve">Para el presente proceso contractual, la forma de pago se realizará </w:t>
      </w:r>
      <w:r w:rsidR="000E7EE5" w:rsidRPr="000113B8">
        <w:rPr>
          <w:rFonts w:ascii="Garamond" w:hAnsi="Garamond" w:cs="Arial"/>
          <w:color w:val="000000" w:themeColor="text1"/>
          <w:lang w:val="es-ES_tradnl"/>
        </w:rPr>
        <w:t>cancelará el valor de la póliza en un único pago dentro de un plazo de treinta (30) días calendario, contados a partir del cumplimiento de los siguientes requisitos:</w:t>
      </w:r>
    </w:p>
    <w:p w14:paraId="661E7764" w14:textId="77777777" w:rsidR="000E7EE5" w:rsidRPr="000113B8" w:rsidRDefault="000E7EE5" w:rsidP="000E7EE5">
      <w:pPr>
        <w:jc w:val="both"/>
        <w:rPr>
          <w:rFonts w:ascii="Garamond" w:hAnsi="Garamond" w:cs="Arial"/>
          <w:color w:val="000000" w:themeColor="text1"/>
          <w:lang w:val="es-ES_tradnl"/>
        </w:rPr>
      </w:pPr>
    </w:p>
    <w:p w14:paraId="0DB14E28" w14:textId="4C2C2612" w:rsidR="000E7EE5" w:rsidRPr="003B5FC3" w:rsidRDefault="000E7EE5" w:rsidP="00C54B99">
      <w:pPr>
        <w:pStyle w:val="Prrafodelista"/>
        <w:numPr>
          <w:ilvl w:val="0"/>
          <w:numId w:val="5"/>
        </w:numPr>
        <w:spacing w:before="0"/>
        <w:jc w:val="both"/>
        <w:rPr>
          <w:rFonts w:ascii="Garamond" w:hAnsi="Garamond" w:cs="Arial"/>
          <w:color w:val="000000" w:themeColor="text1"/>
          <w:lang w:val="es-ES_tradnl"/>
        </w:rPr>
      </w:pPr>
      <w:r w:rsidRPr="000113B8">
        <w:rPr>
          <w:rFonts w:ascii="Garamond" w:hAnsi="Garamond" w:cs="Arial"/>
          <w:color w:val="000000" w:themeColor="text1"/>
          <w:lang w:val="es-ES_tradnl"/>
        </w:rPr>
        <w:t>Haber expedido todas las pólizas de conformidad con los requerimientos técnicos contenidos en los documentos que constituyen el presente Proceso de Selección.</w:t>
      </w:r>
    </w:p>
    <w:p w14:paraId="0DEDDEF9" w14:textId="752B06F7" w:rsidR="000E7EE5" w:rsidRPr="003B5FC3" w:rsidRDefault="000E7EE5" w:rsidP="00C54B99">
      <w:pPr>
        <w:pStyle w:val="Prrafodelista"/>
        <w:numPr>
          <w:ilvl w:val="0"/>
          <w:numId w:val="5"/>
        </w:numPr>
        <w:spacing w:before="0"/>
        <w:jc w:val="both"/>
        <w:rPr>
          <w:rFonts w:ascii="Garamond" w:hAnsi="Garamond" w:cs="Arial"/>
          <w:color w:val="000000" w:themeColor="text1"/>
          <w:lang w:val="es-ES_tradnl"/>
        </w:rPr>
      </w:pPr>
      <w:r w:rsidRPr="000113B8">
        <w:rPr>
          <w:rFonts w:ascii="Garamond" w:hAnsi="Garamond" w:cs="Arial"/>
          <w:color w:val="000000" w:themeColor="text1"/>
          <w:lang w:val="es-ES_tradnl"/>
        </w:rPr>
        <w:t>Presentar la certificación de cumplimiento a satisfacción expedida por el supervisor del contrato.</w:t>
      </w:r>
    </w:p>
    <w:p w14:paraId="798FB937" w14:textId="77777777" w:rsidR="000E7EE5" w:rsidRPr="000113B8" w:rsidRDefault="000E7EE5" w:rsidP="00C54B99">
      <w:pPr>
        <w:pStyle w:val="Prrafodelista"/>
        <w:numPr>
          <w:ilvl w:val="0"/>
          <w:numId w:val="5"/>
        </w:numPr>
        <w:spacing w:before="0"/>
        <w:jc w:val="both"/>
        <w:rPr>
          <w:rFonts w:ascii="Garamond" w:hAnsi="Garamond" w:cs="Arial"/>
          <w:color w:val="000000" w:themeColor="text1"/>
          <w:lang w:val="es-ES_tradnl"/>
        </w:rPr>
      </w:pPr>
      <w:r w:rsidRPr="000113B8">
        <w:rPr>
          <w:rFonts w:ascii="Garamond" w:hAnsi="Garamond" w:cs="Arial"/>
          <w:color w:val="000000" w:themeColor="text1"/>
          <w:lang w:val="es-ES_tradnl"/>
        </w:rPr>
        <w:t>Acreditar el correspondiente pago de los aportes parafiscales.</w:t>
      </w:r>
    </w:p>
    <w:p w14:paraId="19C16D1E" w14:textId="77777777" w:rsidR="000E7EE5" w:rsidRPr="000113B8" w:rsidRDefault="000E7EE5" w:rsidP="000E7EE5">
      <w:pPr>
        <w:jc w:val="both"/>
        <w:rPr>
          <w:rFonts w:ascii="Garamond" w:hAnsi="Garamond" w:cs="Arial"/>
          <w:color w:val="000000" w:themeColor="text1"/>
          <w:lang w:val="es-ES_tradnl"/>
        </w:rPr>
      </w:pPr>
    </w:p>
    <w:p w14:paraId="2C83CE5F" w14:textId="77777777" w:rsidR="000E7EE5" w:rsidRPr="000113B8" w:rsidRDefault="000E7EE5" w:rsidP="00C54B99">
      <w:pPr>
        <w:pStyle w:val="Prrafodelista"/>
        <w:numPr>
          <w:ilvl w:val="0"/>
          <w:numId w:val="5"/>
        </w:numPr>
        <w:spacing w:before="0"/>
        <w:jc w:val="both"/>
        <w:rPr>
          <w:rFonts w:ascii="Garamond" w:hAnsi="Garamond" w:cs="Arial"/>
          <w:color w:val="000000" w:themeColor="text1"/>
          <w:lang w:val="es-ES_tradnl"/>
        </w:rPr>
      </w:pPr>
      <w:r w:rsidRPr="000113B8">
        <w:rPr>
          <w:rFonts w:ascii="Garamond" w:hAnsi="Garamond" w:cs="Arial"/>
          <w:color w:val="000000" w:themeColor="text1"/>
          <w:lang w:val="es-ES_tradnl"/>
        </w:rPr>
        <w:lastRenderedPageBreak/>
        <w:t>Presentar la respectiva factura electrónica De acuerdo con el Decreto 358 del 5 de marzo de 2020 expedido por el Ministerio de Hacienda y Crédito Público por el cual se reglamentan aspectos en materia tributaria y la Resolución No. 000042 del 5 de mayo de 2020 expedida por la Dirección de Impuestos y Aduanas Nacionales–DIAN.</w:t>
      </w:r>
    </w:p>
    <w:p w14:paraId="5790EE5F" w14:textId="77777777" w:rsidR="000E7EE5" w:rsidRPr="000113B8" w:rsidRDefault="000E7EE5" w:rsidP="000E7EE5">
      <w:pPr>
        <w:jc w:val="both"/>
        <w:rPr>
          <w:rFonts w:ascii="Garamond" w:hAnsi="Garamond" w:cs="Arial"/>
          <w:color w:val="000000" w:themeColor="text1"/>
          <w:lang w:val="es-ES_tradnl"/>
        </w:rPr>
      </w:pPr>
    </w:p>
    <w:p w14:paraId="6E15A6DF" w14:textId="77777777" w:rsidR="000E7EE5" w:rsidRPr="000113B8" w:rsidRDefault="000E7EE5" w:rsidP="000E7EE5">
      <w:pPr>
        <w:jc w:val="both"/>
        <w:rPr>
          <w:rFonts w:ascii="Garamond" w:hAnsi="Garamond" w:cs="Arial"/>
          <w:color w:val="000000" w:themeColor="text1"/>
          <w:lang w:val="es-ES_tradnl"/>
        </w:rPr>
      </w:pPr>
      <w:r w:rsidRPr="000113B8">
        <w:rPr>
          <w:rFonts w:ascii="Garamond" w:hAnsi="Garamond" w:cs="Arial"/>
          <w:color w:val="000000" w:themeColor="text1"/>
          <w:lang w:val="es-ES_tradnl"/>
        </w:rPr>
        <w:t>Los pagos se efectuarán mediante transferencia a la cuenta bancaria informada por la aseguradora que resulte seleccionada, previos los descuentos de ley.</w:t>
      </w:r>
    </w:p>
    <w:p w14:paraId="3A46FE14" w14:textId="77777777" w:rsidR="00B25BD0" w:rsidRPr="000113B8" w:rsidRDefault="00B25BD0" w:rsidP="00C36E43">
      <w:pPr>
        <w:rPr>
          <w:rFonts w:ascii="Garamond" w:eastAsia="Garamond" w:hAnsi="Garamond" w:cs="Garamond"/>
          <w:b/>
          <w:bCs/>
          <w:color w:val="000000" w:themeColor="text1"/>
        </w:rPr>
      </w:pPr>
    </w:p>
    <w:p w14:paraId="3DD171BC" w14:textId="7C650EF1" w:rsidR="004F5681" w:rsidRPr="000113B8" w:rsidRDefault="004F5681" w:rsidP="00C54B99">
      <w:pPr>
        <w:pStyle w:val="Prrafodelista"/>
        <w:numPr>
          <w:ilvl w:val="0"/>
          <w:numId w:val="24"/>
        </w:numPr>
        <w:rPr>
          <w:rFonts w:ascii="Garamond" w:eastAsia="Garamond" w:hAnsi="Garamond" w:cs="Garamond"/>
          <w:b/>
          <w:bCs/>
          <w:color w:val="000000" w:themeColor="text1"/>
        </w:rPr>
      </w:pPr>
      <w:r w:rsidRPr="000113B8">
        <w:rPr>
          <w:rFonts w:ascii="Garamond" w:eastAsia="Garamond" w:hAnsi="Garamond" w:cs="Garamond"/>
          <w:b/>
          <w:bCs/>
          <w:color w:val="000000" w:themeColor="text1"/>
        </w:rPr>
        <w:t>ANÁLISIS DEL MERCADO</w:t>
      </w:r>
    </w:p>
    <w:p w14:paraId="08335350" w14:textId="77777777" w:rsidR="00763CA9" w:rsidRPr="000113B8" w:rsidRDefault="00763CA9" w:rsidP="00763CA9">
      <w:pPr>
        <w:rPr>
          <w:rFonts w:ascii="Garamond" w:eastAsia="Garamond" w:hAnsi="Garamond" w:cs="Garamond"/>
          <w:b/>
          <w:bCs/>
          <w:color w:val="000000" w:themeColor="text1"/>
        </w:rPr>
      </w:pPr>
    </w:p>
    <w:p w14:paraId="38225417" w14:textId="77777777" w:rsidR="00763CA9" w:rsidRPr="000113B8" w:rsidRDefault="00763CA9" w:rsidP="00763CA9">
      <w:pPr>
        <w:jc w:val="both"/>
        <w:rPr>
          <w:rFonts w:ascii="Garamond" w:hAnsi="Garamond"/>
          <w:color w:val="000000" w:themeColor="text1"/>
        </w:rPr>
      </w:pPr>
      <w:r w:rsidRPr="000113B8">
        <w:rPr>
          <w:rFonts w:ascii="Garamond" w:hAnsi="Garamond"/>
          <w:color w:val="000000" w:themeColor="text1"/>
        </w:rPr>
        <w:t>A través de la Ley 45 de 1990, el Gobierno Nacional instituyó a favor de las aseguradoras la libertad de determinar las condiciones de las pólizas y las tarifas de los seguros y la determinación de los parámetros requeridos en la elaboración de dichas tarifas quedó a cargo de la Superintendencia Financiera de Colombia.</w:t>
      </w:r>
    </w:p>
    <w:p w14:paraId="1800C82E" w14:textId="77777777" w:rsidR="00763CA9" w:rsidRPr="000113B8" w:rsidRDefault="00763CA9" w:rsidP="00763CA9">
      <w:pPr>
        <w:jc w:val="both"/>
        <w:rPr>
          <w:rFonts w:ascii="Garamond" w:hAnsi="Garamond"/>
          <w:color w:val="000000" w:themeColor="text1"/>
        </w:rPr>
      </w:pPr>
    </w:p>
    <w:p w14:paraId="710C4DAC" w14:textId="77777777" w:rsidR="00763CA9" w:rsidRPr="000113B8" w:rsidRDefault="00763CA9" w:rsidP="00763CA9">
      <w:pPr>
        <w:jc w:val="both"/>
        <w:rPr>
          <w:rFonts w:ascii="Garamond" w:hAnsi="Garamond"/>
          <w:color w:val="000000" w:themeColor="text1"/>
        </w:rPr>
      </w:pPr>
      <w:r w:rsidRPr="000113B8">
        <w:rPr>
          <w:rFonts w:ascii="Garamond" w:hAnsi="Garamond"/>
          <w:color w:val="000000" w:themeColor="text1"/>
        </w:rPr>
        <w:t>A este respecto, el Estatuto Orgánico del Sistema Financiero previó requisitos para la aplicación del régimen de libertad de tarifas, entre otros:</w:t>
      </w:r>
    </w:p>
    <w:p w14:paraId="000CABD6" w14:textId="77777777" w:rsidR="00763CA9" w:rsidRPr="000113B8" w:rsidRDefault="00763CA9" w:rsidP="00763CA9">
      <w:pPr>
        <w:jc w:val="both"/>
        <w:rPr>
          <w:rFonts w:ascii="Garamond" w:hAnsi="Garamond"/>
          <w:color w:val="000000" w:themeColor="text1"/>
        </w:rPr>
      </w:pPr>
    </w:p>
    <w:p w14:paraId="0128D709" w14:textId="77777777" w:rsidR="00763CA9" w:rsidRPr="000113B8" w:rsidRDefault="00763CA9" w:rsidP="00763CA9">
      <w:pPr>
        <w:jc w:val="both"/>
        <w:rPr>
          <w:rFonts w:ascii="Garamond" w:hAnsi="Garamond"/>
          <w:bCs/>
          <w:i/>
          <w:iCs/>
          <w:color w:val="000000" w:themeColor="text1"/>
        </w:rPr>
      </w:pPr>
      <w:r w:rsidRPr="000113B8">
        <w:rPr>
          <w:rFonts w:ascii="Garamond" w:hAnsi="Garamond"/>
          <w:b/>
          <w:i/>
          <w:iCs/>
          <w:color w:val="000000" w:themeColor="text1"/>
        </w:rPr>
        <w:t>“</w:t>
      </w:r>
      <w:r w:rsidRPr="000113B8">
        <w:rPr>
          <w:rFonts w:ascii="Garamond" w:hAnsi="Garamond"/>
          <w:bCs/>
          <w:i/>
          <w:iCs/>
          <w:color w:val="000000" w:themeColor="text1"/>
        </w:rPr>
        <w:t xml:space="preserve">Artículo 100. REGIMEN DE PROTECCIÓN A TOMADORES DE SEGUROS Y ASEGURADOS. </w:t>
      </w:r>
    </w:p>
    <w:p w14:paraId="16CE20C8" w14:textId="77777777" w:rsidR="00763CA9" w:rsidRPr="000113B8" w:rsidRDefault="00763CA9" w:rsidP="00763CA9">
      <w:pPr>
        <w:jc w:val="both"/>
        <w:rPr>
          <w:rFonts w:ascii="Garamond" w:hAnsi="Garamond"/>
          <w:color w:val="000000" w:themeColor="text1"/>
        </w:rPr>
      </w:pPr>
    </w:p>
    <w:p w14:paraId="7CCC55BD" w14:textId="77777777" w:rsidR="00763CA9" w:rsidRPr="000113B8" w:rsidRDefault="00763CA9" w:rsidP="00C54B99">
      <w:pPr>
        <w:numPr>
          <w:ilvl w:val="0"/>
          <w:numId w:val="26"/>
        </w:numPr>
        <w:suppressAutoHyphens/>
        <w:autoSpaceDE/>
        <w:jc w:val="both"/>
        <w:textAlignment w:val="baseline"/>
        <w:rPr>
          <w:rFonts w:ascii="Garamond" w:hAnsi="Garamond"/>
          <w:i/>
          <w:color w:val="000000" w:themeColor="text1"/>
        </w:rPr>
      </w:pPr>
      <w:r w:rsidRPr="000113B8">
        <w:rPr>
          <w:rFonts w:ascii="Garamond" w:hAnsi="Garamond"/>
          <w:i/>
          <w:color w:val="000000" w:themeColor="text1"/>
        </w:rPr>
        <w:t>Reglas sobre condiciones de las pólizas y tarifas. La determinación de las condiciones de las pólizas y las tarifas responderá al régimen de libertad de competencia del mercado de seguros, y respetará siempre las reglas previstas en los numerales 2 y 3 del artículo 184 del presente estatuto. (…)”</w:t>
      </w:r>
    </w:p>
    <w:p w14:paraId="460221F0" w14:textId="77777777" w:rsidR="00763CA9" w:rsidRPr="000113B8" w:rsidRDefault="00763CA9" w:rsidP="00763CA9">
      <w:pPr>
        <w:jc w:val="both"/>
        <w:rPr>
          <w:rFonts w:ascii="Garamond" w:hAnsi="Garamond"/>
          <w:color w:val="000000" w:themeColor="text1"/>
        </w:rPr>
      </w:pPr>
    </w:p>
    <w:p w14:paraId="5ADCBDFE" w14:textId="77777777" w:rsidR="00763CA9" w:rsidRPr="000113B8" w:rsidRDefault="00763CA9" w:rsidP="00763CA9">
      <w:pPr>
        <w:jc w:val="both"/>
        <w:rPr>
          <w:rFonts w:ascii="Garamond" w:hAnsi="Garamond"/>
          <w:bCs/>
          <w:i/>
          <w:iCs/>
          <w:color w:val="000000" w:themeColor="text1"/>
        </w:rPr>
      </w:pPr>
      <w:r w:rsidRPr="000113B8">
        <w:rPr>
          <w:rFonts w:ascii="Garamond" w:hAnsi="Garamond"/>
          <w:bCs/>
          <w:i/>
          <w:iCs/>
          <w:color w:val="000000" w:themeColor="text1"/>
        </w:rPr>
        <w:t>“Artículo 184. REGIMEN DE PÓLIZAS Y TARIFAS.</w:t>
      </w:r>
    </w:p>
    <w:p w14:paraId="61718FE4" w14:textId="77777777" w:rsidR="00763CA9" w:rsidRPr="000113B8" w:rsidRDefault="00763CA9" w:rsidP="00763CA9">
      <w:pPr>
        <w:jc w:val="both"/>
        <w:rPr>
          <w:rFonts w:ascii="Garamond" w:hAnsi="Garamond"/>
          <w:color w:val="000000" w:themeColor="text1"/>
        </w:rPr>
      </w:pPr>
    </w:p>
    <w:p w14:paraId="5CA9F6C4" w14:textId="77777777" w:rsidR="00763CA9" w:rsidRPr="000113B8" w:rsidRDefault="00763CA9" w:rsidP="00C54B99">
      <w:pPr>
        <w:numPr>
          <w:ilvl w:val="0"/>
          <w:numId w:val="26"/>
        </w:numPr>
        <w:suppressAutoHyphens/>
        <w:autoSpaceDE/>
        <w:jc w:val="both"/>
        <w:textAlignment w:val="baseline"/>
        <w:rPr>
          <w:rFonts w:ascii="Garamond" w:hAnsi="Garamond"/>
          <w:i/>
          <w:color w:val="000000" w:themeColor="text1"/>
        </w:rPr>
      </w:pPr>
      <w:r w:rsidRPr="000113B8">
        <w:rPr>
          <w:rFonts w:ascii="Garamond" w:hAnsi="Garamond"/>
          <w:i/>
          <w:color w:val="000000" w:themeColor="text1"/>
        </w:rPr>
        <w:t>Modelos de pólizas y tarifas. La autorización previa de la Superintendencia Financiera de los modelos de las pólizas y tarifas será necesaria cuando se trate de la autorización inicial a una entidad aseguradora o para la explotación de un nuevo ramo.</w:t>
      </w:r>
    </w:p>
    <w:p w14:paraId="7F6CAE57" w14:textId="77777777" w:rsidR="00763CA9" w:rsidRPr="000113B8" w:rsidRDefault="00763CA9" w:rsidP="00763CA9">
      <w:pPr>
        <w:jc w:val="both"/>
        <w:rPr>
          <w:rFonts w:ascii="Garamond" w:hAnsi="Garamond"/>
          <w:color w:val="000000" w:themeColor="text1"/>
        </w:rPr>
      </w:pPr>
    </w:p>
    <w:p w14:paraId="07694A74" w14:textId="77777777" w:rsidR="00763CA9" w:rsidRPr="000113B8" w:rsidRDefault="00763CA9" w:rsidP="00763CA9">
      <w:pPr>
        <w:jc w:val="both"/>
        <w:rPr>
          <w:rFonts w:ascii="Garamond" w:hAnsi="Garamond"/>
          <w:color w:val="000000" w:themeColor="text1"/>
        </w:rPr>
      </w:pPr>
      <w:r w:rsidRPr="000113B8">
        <w:rPr>
          <w:rFonts w:ascii="Garamond" w:hAnsi="Garamond"/>
          <w:color w:val="000000" w:themeColor="text1"/>
        </w:rPr>
        <w:t xml:space="preserve">En concordancia con lo dispuesto por el artículo </w:t>
      </w:r>
      <w:hyperlink r:id="rId61" w:anchor="2" w:tgtFrame="_blank" w:history="1">
        <w:r w:rsidRPr="000113B8">
          <w:rPr>
            <w:rFonts w:ascii="Garamond" w:hAnsi="Garamond"/>
            <w:color w:val="000000" w:themeColor="text1"/>
          </w:rPr>
          <w:t>2</w:t>
        </w:r>
      </w:hyperlink>
      <w:r w:rsidRPr="000113B8">
        <w:rPr>
          <w:rFonts w:ascii="Garamond" w:hAnsi="Garamond"/>
          <w:color w:val="000000" w:themeColor="text1"/>
        </w:rPr>
        <w:t>o. de la Ley 389 de 1997, los modelos de las pólizas y sus anexos deberán enviarse a la Superintendencia Financiera para su correspondiente depósito, en las condiciones que determine dicho organismo.</w:t>
      </w:r>
    </w:p>
    <w:p w14:paraId="6D59E794" w14:textId="77777777" w:rsidR="00763CA9" w:rsidRPr="000113B8" w:rsidRDefault="00763CA9" w:rsidP="00763CA9">
      <w:pPr>
        <w:jc w:val="both"/>
        <w:rPr>
          <w:rFonts w:ascii="Garamond" w:hAnsi="Garamond"/>
          <w:color w:val="000000" w:themeColor="text1"/>
        </w:rPr>
      </w:pPr>
    </w:p>
    <w:p w14:paraId="2D1615BF" w14:textId="77777777" w:rsidR="00763CA9" w:rsidRPr="000113B8" w:rsidRDefault="00763CA9" w:rsidP="00763CA9">
      <w:pPr>
        <w:jc w:val="both"/>
        <w:rPr>
          <w:rFonts w:ascii="Garamond" w:hAnsi="Garamond"/>
          <w:color w:val="000000" w:themeColor="text1"/>
        </w:rPr>
      </w:pPr>
      <w:r w:rsidRPr="000113B8">
        <w:rPr>
          <w:rFonts w:ascii="Garamond" w:hAnsi="Garamond"/>
          <w:color w:val="000000" w:themeColor="text1"/>
        </w:rPr>
        <w:t xml:space="preserve">No obstante, lo anterior la autorización previa de la Superintendencia Financiera será necesaria cuando se trate de la autorización inicial a una entidad aseguradora o de la correspondiente para la explotación de un nuevo ramo. </w:t>
      </w:r>
    </w:p>
    <w:p w14:paraId="434D1954" w14:textId="77777777" w:rsidR="00763CA9" w:rsidRPr="000113B8" w:rsidRDefault="00763CA9" w:rsidP="00763CA9">
      <w:pPr>
        <w:jc w:val="both"/>
        <w:rPr>
          <w:rFonts w:ascii="Garamond" w:hAnsi="Garamond"/>
          <w:color w:val="000000" w:themeColor="text1"/>
        </w:rPr>
      </w:pPr>
    </w:p>
    <w:p w14:paraId="7FD1764A" w14:textId="77777777" w:rsidR="00763CA9" w:rsidRPr="000113B8" w:rsidRDefault="00763CA9" w:rsidP="00763CA9">
      <w:pPr>
        <w:rPr>
          <w:rFonts w:ascii="Garamond" w:hAnsi="Garamond"/>
          <w:b/>
          <w:i/>
          <w:iCs/>
          <w:color w:val="000000" w:themeColor="text1"/>
        </w:rPr>
      </w:pPr>
      <w:bookmarkStart w:id="22" w:name="_Toc41048550"/>
      <w:r w:rsidRPr="000113B8">
        <w:rPr>
          <w:rFonts w:ascii="Garamond" w:hAnsi="Garamond"/>
          <w:b/>
          <w:i/>
          <w:iCs/>
          <w:color w:val="000000" w:themeColor="text1"/>
        </w:rPr>
        <w:t>Requisitos de las pólizas. Las pólizas deberán ajustarse a las siguientes exigencias:</w:t>
      </w:r>
      <w:bookmarkEnd w:id="22"/>
    </w:p>
    <w:p w14:paraId="21B3FFBA" w14:textId="77777777" w:rsidR="00763CA9" w:rsidRPr="000113B8" w:rsidRDefault="00763CA9" w:rsidP="00763CA9">
      <w:pPr>
        <w:rPr>
          <w:rFonts w:ascii="Garamond" w:hAnsi="Garamond"/>
          <w:i/>
          <w:iCs/>
          <w:color w:val="000000" w:themeColor="text1"/>
        </w:rPr>
      </w:pPr>
    </w:p>
    <w:p w14:paraId="11664C61" w14:textId="77777777" w:rsidR="00763CA9" w:rsidRPr="000113B8" w:rsidRDefault="00763CA9" w:rsidP="00763CA9">
      <w:pPr>
        <w:jc w:val="both"/>
        <w:rPr>
          <w:rFonts w:ascii="Garamond" w:hAnsi="Garamond"/>
          <w:i/>
          <w:iCs/>
          <w:color w:val="000000" w:themeColor="text1"/>
        </w:rPr>
      </w:pPr>
      <w:r w:rsidRPr="000113B8">
        <w:rPr>
          <w:rFonts w:ascii="Garamond" w:hAnsi="Garamond"/>
          <w:i/>
          <w:iCs/>
          <w:color w:val="000000" w:themeColor="text1"/>
        </w:rPr>
        <w:t xml:space="preserve">a. Su contenido debe ceñirse a las normas que regulan el contrato de seguro, al presente estatuto y a las demás disposiciones imperativas que resulten aplicables, so pena de ineficacia de la estipulación respectiva; </w:t>
      </w:r>
    </w:p>
    <w:p w14:paraId="1C8CD57F" w14:textId="77777777" w:rsidR="00763CA9" w:rsidRPr="000113B8" w:rsidRDefault="00763CA9" w:rsidP="00763CA9">
      <w:pPr>
        <w:jc w:val="both"/>
        <w:rPr>
          <w:rFonts w:ascii="Garamond" w:hAnsi="Garamond"/>
          <w:i/>
          <w:iCs/>
          <w:color w:val="000000" w:themeColor="text1"/>
        </w:rPr>
      </w:pPr>
      <w:r w:rsidRPr="000113B8">
        <w:rPr>
          <w:rFonts w:ascii="Garamond" w:hAnsi="Garamond"/>
          <w:i/>
          <w:iCs/>
          <w:color w:val="000000" w:themeColor="text1"/>
        </w:rPr>
        <w:t xml:space="preserve">b. Deben redactarse en tal forma que sean de fácil comprensión para el asegurado. Por tanto, los caracteres tipográficos deben ser fácilmente legibles, y </w:t>
      </w:r>
    </w:p>
    <w:p w14:paraId="61E71BB6" w14:textId="77777777" w:rsidR="00763CA9" w:rsidRPr="000113B8" w:rsidRDefault="00763CA9" w:rsidP="00763CA9">
      <w:pPr>
        <w:jc w:val="both"/>
        <w:rPr>
          <w:rFonts w:ascii="Garamond" w:hAnsi="Garamond"/>
          <w:i/>
          <w:iCs/>
          <w:color w:val="000000" w:themeColor="text1"/>
        </w:rPr>
      </w:pPr>
      <w:r w:rsidRPr="000113B8">
        <w:rPr>
          <w:rFonts w:ascii="Garamond" w:hAnsi="Garamond"/>
          <w:i/>
          <w:iCs/>
          <w:color w:val="000000" w:themeColor="text1"/>
        </w:rPr>
        <w:t xml:space="preserve">c. Los amparos básicos y las exclusiones deben figurar, en caracteres destacados, en la primera página de la póliza. </w:t>
      </w:r>
    </w:p>
    <w:p w14:paraId="7A1F0641" w14:textId="77777777" w:rsidR="00763CA9" w:rsidRPr="000113B8" w:rsidRDefault="00763CA9" w:rsidP="00763CA9">
      <w:pPr>
        <w:jc w:val="both"/>
        <w:rPr>
          <w:rFonts w:ascii="Garamond" w:hAnsi="Garamond"/>
          <w:i/>
          <w:iCs/>
          <w:color w:val="000000" w:themeColor="text1"/>
        </w:rPr>
      </w:pPr>
    </w:p>
    <w:p w14:paraId="133FF675" w14:textId="77777777" w:rsidR="00763CA9" w:rsidRPr="000113B8" w:rsidRDefault="00763CA9" w:rsidP="00763CA9">
      <w:pPr>
        <w:rPr>
          <w:rFonts w:ascii="Garamond" w:hAnsi="Garamond"/>
          <w:b/>
          <w:i/>
          <w:iCs/>
          <w:color w:val="000000" w:themeColor="text1"/>
        </w:rPr>
      </w:pPr>
      <w:bookmarkStart w:id="23" w:name="_Toc41048551"/>
      <w:r w:rsidRPr="000113B8">
        <w:rPr>
          <w:rFonts w:ascii="Garamond" w:hAnsi="Garamond"/>
          <w:b/>
          <w:i/>
          <w:iCs/>
          <w:color w:val="000000" w:themeColor="text1"/>
        </w:rPr>
        <w:t>Requisitos de las tarifas. Las tarifas cumplirán las siguientes reglas:</w:t>
      </w:r>
      <w:bookmarkEnd w:id="23"/>
      <w:r w:rsidRPr="000113B8">
        <w:rPr>
          <w:rFonts w:ascii="Garamond" w:hAnsi="Garamond"/>
          <w:b/>
          <w:i/>
          <w:iCs/>
          <w:color w:val="000000" w:themeColor="text1"/>
        </w:rPr>
        <w:t xml:space="preserve"> </w:t>
      </w:r>
    </w:p>
    <w:p w14:paraId="17DEB050" w14:textId="77777777" w:rsidR="00763CA9" w:rsidRPr="000113B8" w:rsidRDefault="00763CA9" w:rsidP="00763CA9">
      <w:pPr>
        <w:rPr>
          <w:rFonts w:ascii="Garamond" w:hAnsi="Garamond"/>
          <w:i/>
          <w:iCs/>
          <w:color w:val="000000" w:themeColor="text1"/>
        </w:rPr>
      </w:pPr>
    </w:p>
    <w:p w14:paraId="551E9D51" w14:textId="77777777" w:rsidR="00763CA9" w:rsidRPr="000113B8" w:rsidRDefault="00763CA9" w:rsidP="00763CA9">
      <w:pPr>
        <w:jc w:val="both"/>
        <w:rPr>
          <w:rFonts w:ascii="Garamond" w:hAnsi="Garamond"/>
          <w:i/>
          <w:iCs/>
          <w:color w:val="000000" w:themeColor="text1"/>
        </w:rPr>
      </w:pPr>
      <w:r w:rsidRPr="000113B8">
        <w:rPr>
          <w:rFonts w:ascii="Garamond" w:hAnsi="Garamond"/>
          <w:i/>
          <w:iCs/>
          <w:color w:val="000000" w:themeColor="text1"/>
        </w:rPr>
        <w:t xml:space="preserve">a. Deben observar los principios técnicos de equidad y suficiencia; </w:t>
      </w:r>
    </w:p>
    <w:p w14:paraId="1286055E" w14:textId="77777777" w:rsidR="00763CA9" w:rsidRPr="000113B8" w:rsidRDefault="00763CA9" w:rsidP="00763CA9">
      <w:pPr>
        <w:jc w:val="both"/>
        <w:rPr>
          <w:rFonts w:ascii="Garamond" w:hAnsi="Garamond"/>
          <w:i/>
          <w:iCs/>
          <w:color w:val="000000" w:themeColor="text1"/>
        </w:rPr>
      </w:pPr>
      <w:r w:rsidRPr="000113B8">
        <w:rPr>
          <w:rFonts w:ascii="Garamond" w:hAnsi="Garamond"/>
          <w:i/>
          <w:iCs/>
          <w:color w:val="000000" w:themeColor="text1"/>
        </w:rPr>
        <w:t xml:space="preserve">b. Deben ser el producto de la utilización de información estadística que cumpla exigencias de homogeneidad y representatividad, y </w:t>
      </w:r>
    </w:p>
    <w:p w14:paraId="3A88B1ED" w14:textId="77777777" w:rsidR="00763CA9" w:rsidRPr="000113B8" w:rsidRDefault="00763CA9" w:rsidP="00763CA9">
      <w:pPr>
        <w:jc w:val="both"/>
        <w:rPr>
          <w:rFonts w:ascii="Garamond" w:hAnsi="Garamond"/>
          <w:i/>
          <w:iCs/>
          <w:color w:val="000000" w:themeColor="text1"/>
        </w:rPr>
      </w:pPr>
      <w:r w:rsidRPr="000113B8">
        <w:rPr>
          <w:rFonts w:ascii="Garamond" w:hAnsi="Garamond"/>
          <w:i/>
          <w:iCs/>
          <w:color w:val="000000" w:themeColor="text1"/>
        </w:rPr>
        <w:t xml:space="preserve">c. Ser el producto del respaldo de reaseguradores de reconocida solvencia técnica y financiera, en aquellos riesgos que por su naturaleza no resulte viable el cumplimiento de las exigencias contenidas en la letra anterior. </w:t>
      </w:r>
    </w:p>
    <w:p w14:paraId="291EB594" w14:textId="77777777" w:rsidR="00763CA9" w:rsidRPr="000113B8" w:rsidRDefault="00763CA9" w:rsidP="00763CA9">
      <w:pPr>
        <w:jc w:val="both"/>
        <w:rPr>
          <w:rFonts w:ascii="Garamond" w:hAnsi="Garamond"/>
          <w:i/>
          <w:iCs/>
          <w:color w:val="000000" w:themeColor="text1"/>
        </w:rPr>
      </w:pPr>
    </w:p>
    <w:p w14:paraId="1A28B87F" w14:textId="77777777" w:rsidR="00763CA9" w:rsidRPr="000113B8" w:rsidRDefault="00763CA9" w:rsidP="00763CA9">
      <w:pPr>
        <w:rPr>
          <w:rFonts w:ascii="Garamond" w:hAnsi="Garamond"/>
          <w:b/>
          <w:i/>
          <w:iCs/>
          <w:color w:val="000000" w:themeColor="text1"/>
        </w:rPr>
      </w:pPr>
      <w:bookmarkStart w:id="24" w:name="_Toc41048552"/>
      <w:r w:rsidRPr="000113B8">
        <w:rPr>
          <w:rFonts w:ascii="Garamond" w:hAnsi="Garamond"/>
          <w:b/>
          <w:i/>
          <w:iCs/>
          <w:color w:val="000000" w:themeColor="text1"/>
        </w:rPr>
        <w:lastRenderedPageBreak/>
        <w:t>Incumplimiento de exigencias legales</w:t>
      </w:r>
      <w:bookmarkEnd w:id="24"/>
    </w:p>
    <w:p w14:paraId="273AAFCA" w14:textId="77777777" w:rsidR="00763CA9" w:rsidRPr="000113B8" w:rsidRDefault="00763CA9" w:rsidP="00763CA9">
      <w:pPr>
        <w:rPr>
          <w:rFonts w:ascii="Garamond" w:hAnsi="Garamond"/>
          <w:b/>
          <w:i/>
          <w:iCs/>
          <w:color w:val="000000" w:themeColor="text1"/>
        </w:rPr>
      </w:pPr>
    </w:p>
    <w:p w14:paraId="11768F15" w14:textId="77777777" w:rsidR="00763CA9" w:rsidRPr="000113B8" w:rsidRDefault="00763CA9" w:rsidP="00763CA9">
      <w:pPr>
        <w:jc w:val="both"/>
        <w:rPr>
          <w:rFonts w:ascii="Garamond" w:hAnsi="Garamond"/>
          <w:i/>
          <w:iCs/>
          <w:color w:val="000000" w:themeColor="text1"/>
        </w:rPr>
      </w:pPr>
      <w:r w:rsidRPr="000113B8">
        <w:rPr>
          <w:rFonts w:ascii="Garamond" w:hAnsi="Garamond"/>
          <w:bCs/>
          <w:i/>
          <w:iCs/>
          <w:color w:val="000000" w:themeColor="text1"/>
        </w:rPr>
        <w:t>La ausencia de cualquiera de los anteriores requisitos será causal para que por parte de la Superintendencia Financiera no se autorice la utilización de la póliza o tarifa correspondiente hasta tanto se acredite el cumplimiento del requisito respectivo o, incluso, pueda suspenderse el certificado de autorización de la entidad, cuando tales deficiencias resulten sistemáticas, aparte de las sanciones legales</w:t>
      </w:r>
      <w:r w:rsidRPr="000113B8">
        <w:rPr>
          <w:rFonts w:ascii="Garamond" w:hAnsi="Garamond"/>
          <w:i/>
          <w:iCs/>
          <w:color w:val="000000" w:themeColor="text1"/>
        </w:rPr>
        <w:t xml:space="preserve"> procedentes.</w:t>
      </w:r>
    </w:p>
    <w:p w14:paraId="0C5BE309" w14:textId="77777777" w:rsidR="00763CA9" w:rsidRPr="000113B8" w:rsidRDefault="00763CA9" w:rsidP="00763CA9">
      <w:pPr>
        <w:jc w:val="both"/>
        <w:rPr>
          <w:rFonts w:ascii="Garamond" w:hAnsi="Garamond"/>
          <w:color w:val="000000" w:themeColor="text1"/>
        </w:rPr>
      </w:pPr>
    </w:p>
    <w:p w14:paraId="3C2191E8" w14:textId="77777777" w:rsidR="00763CA9" w:rsidRPr="000113B8" w:rsidRDefault="00763CA9" w:rsidP="00763CA9">
      <w:pPr>
        <w:jc w:val="both"/>
        <w:rPr>
          <w:rFonts w:ascii="Garamond" w:hAnsi="Garamond"/>
          <w:color w:val="000000" w:themeColor="text1"/>
        </w:rPr>
      </w:pPr>
      <w:r w:rsidRPr="000113B8">
        <w:rPr>
          <w:rFonts w:ascii="Garamond" w:hAnsi="Garamond"/>
          <w:color w:val="000000" w:themeColor="text1"/>
        </w:rPr>
        <w:t>De lo antes expuesto se infiere que las condiciones de los productos que ofrece el mercado asegurador están sujetas al análisis de riesgos, información estadística, cumplimiento de los requisitos de carácter técnico que permita la viabilidad de la asunción de los riesgos bajo los parámetros establecidos en las disposiciones legales.</w:t>
      </w:r>
    </w:p>
    <w:p w14:paraId="6EE74F9D" w14:textId="77777777" w:rsidR="00763CA9" w:rsidRPr="000113B8" w:rsidRDefault="00763CA9" w:rsidP="00763CA9">
      <w:pPr>
        <w:jc w:val="both"/>
        <w:rPr>
          <w:rFonts w:ascii="Garamond" w:hAnsi="Garamond"/>
          <w:color w:val="000000" w:themeColor="text1"/>
        </w:rPr>
      </w:pPr>
    </w:p>
    <w:p w14:paraId="3AE62E2D" w14:textId="77777777" w:rsidR="00763CA9" w:rsidRPr="000113B8" w:rsidRDefault="00763CA9" w:rsidP="00763CA9">
      <w:pPr>
        <w:jc w:val="center"/>
        <w:rPr>
          <w:rFonts w:ascii="Garamond" w:hAnsi="Garamond" w:cs="Arial"/>
          <w:bCs/>
          <w:color w:val="000000" w:themeColor="text1"/>
        </w:rPr>
      </w:pPr>
      <w:r w:rsidRPr="000113B8">
        <w:rPr>
          <w:rFonts w:ascii="Garamond" w:hAnsi="Garamond" w:cs="Arial"/>
          <w:noProof/>
          <w:color w:val="000000" w:themeColor="text1"/>
        </w:rPr>
        <w:drawing>
          <wp:inline distT="0" distB="0" distL="0" distR="0" wp14:anchorId="3A9EF92B" wp14:editId="7FC9B07F">
            <wp:extent cx="4345350" cy="2282406"/>
            <wp:effectExtent l="38100" t="38100" r="36195" b="41910"/>
            <wp:docPr id="1541676725" name="Imagen 91"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descr="Diagrama&#10;&#10;El contenido generado por IA puede ser incorrecto."/>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361709" cy="2290999"/>
                    </a:xfrm>
                    <a:prstGeom prst="rect">
                      <a:avLst/>
                    </a:prstGeom>
                    <a:noFill/>
                    <a:ln w="38100" cmpd="sng">
                      <a:solidFill>
                        <a:srgbClr val="000000"/>
                      </a:solidFill>
                      <a:miter lim="800000"/>
                      <a:headEnd/>
                      <a:tailEnd/>
                    </a:ln>
                    <a:effectLst/>
                  </pic:spPr>
                </pic:pic>
              </a:graphicData>
            </a:graphic>
          </wp:inline>
        </w:drawing>
      </w:r>
    </w:p>
    <w:p w14:paraId="2B863CCE" w14:textId="77777777" w:rsidR="00763CA9" w:rsidRPr="000113B8" w:rsidRDefault="00763CA9" w:rsidP="00763CA9">
      <w:pPr>
        <w:ind w:right="57"/>
        <w:jc w:val="center"/>
        <w:rPr>
          <w:rFonts w:ascii="Garamond" w:eastAsia="Batang" w:hAnsi="Garamond" w:cs="Arial"/>
          <w:bCs/>
          <w:color w:val="000000" w:themeColor="text1"/>
        </w:rPr>
      </w:pPr>
      <w:r w:rsidRPr="000113B8">
        <w:rPr>
          <w:rFonts w:ascii="Garamond" w:eastAsia="Batang" w:hAnsi="Garamond" w:cs="Arial"/>
          <w:bCs/>
          <w:color w:val="000000" w:themeColor="text1"/>
        </w:rPr>
        <w:t>Fuente: Elaboración intermediario de seguros de la entidad JARGU S.A. CORREDORES DE SEGUROS</w:t>
      </w:r>
    </w:p>
    <w:p w14:paraId="57D7771D" w14:textId="77777777" w:rsidR="00763CA9" w:rsidRPr="000113B8" w:rsidRDefault="00763CA9" w:rsidP="00763CA9">
      <w:pPr>
        <w:ind w:right="57"/>
        <w:jc w:val="center"/>
        <w:rPr>
          <w:rFonts w:ascii="Garamond" w:eastAsia="Batang" w:hAnsi="Garamond" w:cs="Arial"/>
          <w:bCs/>
          <w:color w:val="000000" w:themeColor="text1"/>
        </w:rPr>
      </w:pPr>
    </w:p>
    <w:p w14:paraId="000169EF" w14:textId="77777777" w:rsidR="00763CA9" w:rsidRPr="000113B8" w:rsidRDefault="00763CA9" w:rsidP="00763CA9">
      <w:pPr>
        <w:adjustRightInd w:val="0"/>
        <w:rPr>
          <w:rFonts w:ascii="Garamond" w:hAnsi="Garamond" w:cs="Arial"/>
          <w:color w:val="000000" w:themeColor="text1"/>
        </w:rPr>
      </w:pPr>
      <w:r w:rsidRPr="000113B8">
        <w:rPr>
          <w:rFonts w:ascii="Garamond" w:hAnsi="Garamond" w:cs="Arial"/>
          <w:color w:val="000000" w:themeColor="text1"/>
        </w:rPr>
        <w:t>De acuerdo con lo anterior para la estimación de primas se deben contemplar los siguientes aspectos:</w:t>
      </w:r>
    </w:p>
    <w:p w14:paraId="5149937F" w14:textId="77777777" w:rsidR="00763CA9" w:rsidRPr="000113B8" w:rsidRDefault="00763CA9" w:rsidP="00763CA9">
      <w:pPr>
        <w:adjustRightInd w:val="0"/>
        <w:rPr>
          <w:rFonts w:ascii="Garamond" w:hAnsi="Garamond" w:cs="Arial"/>
          <w:b/>
          <w:bCs/>
          <w:color w:val="000000" w:themeColor="text1"/>
        </w:rPr>
      </w:pPr>
    </w:p>
    <w:p w14:paraId="0EAC4648" w14:textId="77777777" w:rsidR="00763CA9" w:rsidRPr="000113B8" w:rsidRDefault="00763CA9" w:rsidP="00C54B99">
      <w:pPr>
        <w:pStyle w:val="Prrafodelista"/>
        <w:widowControl/>
        <w:numPr>
          <w:ilvl w:val="0"/>
          <w:numId w:val="18"/>
        </w:numPr>
        <w:autoSpaceDE/>
        <w:autoSpaceDN/>
        <w:spacing w:before="0" w:after="200"/>
        <w:contextualSpacing/>
        <w:jc w:val="both"/>
        <w:rPr>
          <w:rFonts w:ascii="Garamond" w:hAnsi="Garamond" w:cs="Arial"/>
          <w:color w:val="000000" w:themeColor="text1"/>
        </w:rPr>
      </w:pPr>
      <w:r w:rsidRPr="000113B8">
        <w:rPr>
          <w:rFonts w:ascii="Garamond" w:hAnsi="Garamond" w:cs="Arial"/>
          <w:b/>
          <w:bCs/>
          <w:color w:val="000000" w:themeColor="text1"/>
        </w:rPr>
        <w:t>Análisis de condiciones particulares en relación con el costo de los seguros</w:t>
      </w:r>
    </w:p>
    <w:p w14:paraId="02110304" w14:textId="77777777" w:rsidR="00763CA9" w:rsidRPr="000113B8" w:rsidRDefault="00763CA9" w:rsidP="00763CA9">
      <w:pPr>
        <w:jc w:val="both"/>
        <w:rPr>
          <w:rFonts w:ascii="Garamond" w:hAnsi="Garamond" w:cs="Arial"/>
          <w:color w:val="000000" w:themeColor="text1"/>
        </w:rPr>
      </w:pPr>
      <w:r w:rsidRPr="000113B8">
        <w:rPr>
          <w:rFonts w:ascii="Garamond" w:hAnsi="Garamond" w:cs="Arial"/>
          <w:color w:val="000000" w:themeColor="text1"/>
        </w:rPr>
        <w:t>Existen múltiples factores que inciden en la tasa de prima del seguro que otorga las compañías aseguradoras en su oferta económica. El sistema de tarifación de cada compañía aseguradora tiene como objetivo la obtención de primas equitativas para cada riesgo, teniendo siempre en cuenta que la solvencia del ente asegurador debe estar garantizada. Esta tasa comercial incluye factores</w:t>
      </w:r>
      <w:r w:rsidRPr="000113B8">
        <w:rPr>
          <w:rStyle w:val="Refdenotaalpie"/>
          <w:rFonts w:ascii="Garamond" w:eastAsia="Aptos" w:hAnsi="Garamond" w:cs="Arial"/>
          <w:color w:val="000000" w:themeColor="text1"/>
        </w:rPr>
        <w:footnoteReference w:id="13"/>
      </w:r>
      <w:r w:rsidRPr="000113B8">
        <w:rPr>
          <w:rFonts w:ascii="Garamond" w:hAnsi="Garamond" w:cs="Arial"/>
          <w:color w:val="000000" w:themeColor="text1"/>
        </w:rPr>
        <w:t xml:space="preserve"> como:</w:t>
      </w:r>
    </w:p>
    <w:p w14:paraId="61AD4F2C" w14:textId="77777777" w:rsidR="00763CA9" w:rsidRPr="000113B8" w:rsidRDefault="00763CA9" w:rsidP="00763CA9">
      <w:pPr>
        <w:jc w:val="both"/>
        <w:rPr>
          <w:rFonts w:ascii="Garamond" w:hAnsi="Garamond" w:cs="Arial"/>
          <w:color w:val="000000" w:themeColor="text1"/>
        </w:rPr>
      </w:pPr>
    </w:p>
    <w:p w14:paraId="50C336F5" w14:textId="77777777" w:rsidR="00763CA9" w:rsidRPr="000113B8" w:rsidRDefault="00763CA9" w:rsidP="00C54B99">
      <w:pPr>
        <w:widowControl/>
        <w:numPr>
          <w:ilvl w:val="0"/>
          <w:numId w:val="27"/>
        </w:numPr>
        <w:adjustRightInd w:val="0"/>
        <w:jc w:val="both"/>
        <w:rPr>
          <w:rFonts w:ascii="Garamond" w:hAnsi="Garamond" w:cs="Arial"/>
          <w:color w:val="000000" w:themeColor="text1"/>
        </w:rPr>
      </w:pPr>
      <w:r w:rsidRPr="000113B8">
        <w:rPr>
          <w:rFonts w:ascii="Garamond" w:hAnsi="Garamond" w:cs="Arial"/>
          <w:color w:val="000000" w:themeColor="text1"/>
        </w:rPr>
        <w:t>La prima pura (PP) de riesgo es la requerida para absorber el costo de los siniestros y no incluye ningún otro costo más que el de los reclamos; representa el costo estimado de las reclamaciones y es el elemento más importante en la tarifación. La prima pura es una medida del gasto por siniestros por unidad de exposición y corresponde al valor necesario para cubrir el costo esperado atribuible exclusivamente a las reclamaciones que genera el riesgo cubierto.</w:t>
      </w:r>
    </w:p>
    <w:p w14:paraId="6C203C07" w14:textId="77777777" w:rsidR="00763CA9" w:rsidRPr="000113B8" w:rsidRDefault="00763CA9" w:rsidP="00C54B99">
      <w:pPr>
        <w:widowControl/>
        <w:numPr>
          <w:ilvl w:val="0"/>
          <w:numId w:val="27"/>
        </w:numPr>
        <w:autoSpaceDE/>
        <w:autoSpaceDN/>
        <w:jc w:val="both"/>
        <w:rPr>
          <w:rFonts w:ascii="Garamond" w:hAnsi="Garamond" w:cs="Arial"/>
          <w:color w:val="000000" w:themeColor="text1"/>
        </w:rPr>
      </w:pPr>
      <w:r w:rsidRPr="000113B8">
        <w:rPr>
          <w:rFonts w:ascii="Garamond" w:hAnsi="Garamond" w:cs="Arial"/>
          <w:color w:val="000000" w:themeColor="text1"/>
        </w:rPr>
        <w:t xml:space="preserve">Recargo por seguridad sobre la prima pura de riesgo el cual se considera porque no se dispone de una cartera infinita para recuperar los siniestros y porque la información estadística no es totalmente fiable, por lo tanto, se constituye una reserva técnica que permite hacer frente a las desviaciones imprevistas de la siniestralidad que pueden comprometer la solvencia. </w:t>
      </w:r>
    </w:p>
    <w:p w14:paraId="2BABCF61" w14:textId="77777777" w:rsidR="00763CA9" w:rsidRPr="000113B8" w:rsidRDefault="00763CA9" w:rsidP="00C54B99">
      <w:pPr>
        <w:widowControl/>
        <w:numPr>
          <w:ilvl w:val="0"/>
          <w:numId w:val="27"/>
        </w:numPr>
        <w:autoSpaceDE/>
        <w:autoSpaceDN/>
        <w:jc w:val="both"/>
        <w:rPr>
          <w:rFonts w:ascii="Garamond" w:hAnsi="Garamond" w:cs="Arial"/>
          <w:color w:val="000000" w:themeColor="text1"/>
        </w:rPr>
      </w:pPr>
      <w:r w:rsidRPr="000113B8">
        <w:rPr>
          <w:rFonts w:ascii="Garamond" w:hAnsi="Garamond" w:cs="Arial"/>
          <w:color w:val="000000" w:themeColor="text1"/>
        </w:rPr>
        <w:t xml:space="preserve">Recargo para gastos de gestión interna (destinado a cubrir los gastos de administración y gestión), un recargo para gastos de gestión externa (destinado a cubrir los gastos de producción como convenios </w:t>
      </w:r>
      <w:r w:rsidRPr="000113B8">
        <w:rPr>
          <w:rFonts w:ascii="Garamond" w:hAnsi="Garamond" w:cs="Arial"/>
          <w:color w:val="000000" w:themeColor="text1"/>
        </w:rPr>
        <w:lastRenderedPageBreak/>
        <w:t>de reaseguro automáticos y facultativos) y un recargo para beneficios, obteniéndose así la prima comercial o de tarifa.</w:t>
      </w:r>
    </w:p>
    <w:p w14:paraId="793F995F" w14:textId="77777777" w:rsidR="00763CA9" w:rsidRPr="000113B8" w:rsidRDefault="00763CA9" w:rsidP="00763CA9">
      <w:pPr>
        <w:ind w:left="720"/>
        <w:jc w:val="both"/>
        <w:rPr>
          <w:rFonts w:ascii="Garamond" w:hAnsi="Garamond" w:cs="Arial"/>
          <w:color w:val="000000" w:themeColor="text1"/>
        </w:rPr>
      </w:pPr>
    </w:p>
    <w:p w14:paraId="17EBC940" w14:textId="77777777" w:rsidR="00763CA9" w:rsidRPr="000113B8" w:rsidRDefault="00763CA9" w:rsidP="00763CA9">
      <w:pPr>
        <w:jc w:val="both"/>
        <w:rPr>
          <w:rFonts w:ascii="Garamond" w:hAnsi="Garamond" w:cs="Arial"/>
          <w:color w:val="000000" w:themeColor="text1"/>
        </w:rPr>
      </w:pPr>
      <w:r w:rsidRPr="000113B8">
        <w:rPr>
          <w:rFonts w:ascii="Garamond" w:hAnsi="Garamond" w:cs="Arial"/>
          <w:color w:val="000000" w:themeColor="text1"/>
        </w:rPr>
        <w:t>Lo anterior nos da como resultado la prima o tasa comercial la cual debe cumplir con tres principios así:</w:t>
      </w:r>
    </w:p>
    <w:p w14:paraId="4B9459EA" w14:textId="77777777" w:rsidR="00763CA9" w:rsidRPr="000113B8" w:rsidRDefault="00763CA9" w:rsidP="00763CA9">
      <w:pPr>
        <w:jc w:val="both"/>
        <w:rPr>
          <w:rFonts w:ascii="Garamond" w:hAnsi="Garamond" w:cs="Arial"/>
          <w:color w:val="000000" w:themeColor="text1"/>
        </w:rPr>
      </w:pPr>
    </w:p>
    <w:p w14:paraId="154A52A8" w14:textId="77777777" w:rsidR="00763CA9" w:rsidRPr="000113B8" w:rsidRDefault="00763CA9" w:rsidP="00C54B99">
      <w:pPr>
        <w:widowControl/>
        <w:numPr>
          <w:ilvl w:val="0"/>
          <w:numId w:val="28"/>
        </w:numPr>
        <w:autoSpaceDE/>
        <w:autoSpaceDN/>
        <w:jc w:val="both"/>
        <w:rPr>
          <w:rFonts w:ascii="Garamond" w:hAnsi="Garamond" w:cs="Arial"/>
          <w:color w:val="000000" w:themeColor="text1"/>
        </w:rPr>
      </w:pPr>
      <w:r w:rsidRPr="000113B8">
        <w:rPr>
          <w:rFonts w:ascii="Garamond" w:hAnsi="Garamond" w:cs="Arial"/>
          <w:color w:val="000000" w:themeColor="text1"/>
        </w:rPr>
        <w:t xml:space="preserve">El principio de equidad el cual indica que las primas pagadas por los asegurados deben ajustarse al riesgo, lo que implica la adecuada selección de los factores de riesgo y la precisión del proceso de cálculo de las tarifas. </w:t>
      </w:r>
    </w:p>
    <w:p w14:paraId="5F51B90B" w14:textId="77777777" w:rsidR="00763CA9" w:rsidRPr="000113B8" w:rsidRDefault="00763CA9" w:rsidP="00C54B99">
      <w:pPr>
        <w:widowControl/>
        <w:numPr>
          <w:ilvl w:val="0"/>
          <w:numId w:val="28"/>
        </w:numPr>
        <w:autoSpaceDE/>
        <w:autoSpaceDN/>
        <w:jc w:val="both"/>
        <w:rPr>
          <w:rFonts w:ascii="Garamond" w:hAnsi="Garamond" w:cs="Arial"/>
          <w:color w:val="000000" w:themeColor="text1"/>
        </w:rPr>
      </w:pPr>
      <w:r w:rsidRPr="000113B8">
        <w:rPr>
          <w:rFonts w:ascii="Garamond" w:hAnsi="Garamond" w:cs="Arial"/>
          <w:color w:val="000000" w:themeColor="text1"/>
        </w:rPr>
        <w:t xml:space="preserve">El principio de solidaridad se refiere al pago de una prima idéntica por parte de los asegurados pertenecientes a un grupo homogéneo. </w:t>
      </w:r>
    </w:p>
    <w:p w14:paraId="5D34B5CF" w14:textId="77777777" w:rsidR="00763CA9" w:rsidRPr="000113B8" w:rsidRDefault="00763CA9" w:rsidP="00C54B99">
      <w:pPr>
        <w:widowControl/>
        <w:numPr>
          <w:ilvl w:val="0"/>
          <w:numId w:val="28"/>
        </w:numPr>
        <w:autoSpaceDE/>
        <w:autoSpaceDN/>
        <w:jc w:val="both"/>
        <w:rPr>
          <w:rFonts w:ascii="Garamond" w:hAnsi="Garamond" w:cs="Arial"/>
          <w:color w:val="000000" w:themeColor="text1"/>
        </w:rPr>
      </w:pPr>
      <w:r w:rsidRPr="000113B8">
        <w:rPr>
          <w:rFonts w:ascii="Garamond" w:hAnsi="Garamond" w:cs="Arial"/>
          <w:color w:val="000000" w:themeColor="text1"/>
        </w:rPr>
        <w:t xml:space="preserve">El principio de suficiencia pretende que la cuantía total de los ingresos por primas de la empresa aseguradora sea suficiente para hacer frente a los siniestros.  </w:t>
      </w:r>
    </w:p>
    <w:p w14:paraId="4A2FA5BC" w14:textId="77777777" w:rsidR="00763CA9" w:rsidRPr="000113B8" w:rsidRDefault="00763CA9" w:rsidP="00763CA9">
      <w:pPr>
        <w:jc w:val="both"/>
        <w:rPr>
          <w:rFonts w:ascii="Garamond" w:hAnsi="Garamond" w:cs="Arial"/>
          <w:color w:val="000000" w:themeColor="text1"/>
        </w:rPr>
      </w:pPr>
    </w:p>
    <w:p w14:paraId="20F5E77A" w14:textId="77777777" w:rsidR="00763CA9" w:rsidRPr="000113B8" w:rsidRDefault="00763CA9" w:rsidP="00763CA9">
      <w:pPr>
        <w:jc w:val="both"/>
        <w:rPr>
          <w:rFonts w:ascii="Garamond" w:hAnsi="Garamond" w:cs="Arial"/>
          <w:color w:val="000000" w:themeColor="text1"/>
        </w:rPr>
      </w:pPr>
      <w:r w:rsidRPr="000113B8">
        <w:rPr>
          <w:rFonts w:ascii="Garamond" w:hAnsi="Garamond" w:cs="Arial"/>
          <w:color w:val="000000" w:themeColor="text1"/>
        </w:rPr>
        <w:t>Debido a que en Colombia no existen disposiciones que obliguen al asegurador a aceptar todos los riesgos que le proponen, la compañía aseguradora debe realizar un estudio minucioso de cada uno de los componentes de los factores que influyen en el cálculo de la tasa, por lo que realiza un análisis del riesgo a asegurar para la póliza solicitada y la siniestralidad propia de la industria en general. Adicionalmente se verifica las condiciones del mercado reasegurador en caso de que se requiera, junto con sus políticas de suscripción de acuerdo y estrategias comerciales.</w:t>
      </w:r>
    </w:p>
    <w:p w14:paraId="14BE066B" w14:textId="77777777" w:rsidR="00763CA9" w:rsidRPr="000113B8" w:rsidRDefault="00763CA9" w:rsidP="00763CA9">
      <w:pPr>
        <w:jc w:val="both"/>
        <w:rPr>
          <w:rFonts w:ascii="Garamond" w:hAnsi="Garamond" w:cs="Arial"/>
          <w:color w:val="000000" w:themeColor="text1"/>
        </w:rPr>
      </w:pPr>
    </w:p>
    <w:p w14:paraId="5908FB34" w14:textId="77777777" w:rsidR="00763CA9" w:rsidRPr="000113B8" w:rsidRDefault="00763CA9" w:rsidP="00763CA9">
      <w:pPr>
        <w:jc w:val="both"/>
        <w:rPr>
          <w:rFonts w:ascii="Garamond" w:hAnsi="Garamond" w:cs="Arial"/>
          <w:color w:val="000000" w:themeColor="text1"/>
        </w:rPr>
      </w:pPr>
      <w:r w:rsidRPr="000113B8">
        <w:rPr>
          <w:rFonts w:ascii="Garamond" w:hAnsi="Garamond" w:cs="Arial"/>
          <w:color w:val="000000" w:themeColor="text1"/>
        </w:rPr>
        <w:t>Adicional, la aseguradora considera los aspectos subjetivos del riesgo relacionadas con las particulares cualidades del asegurado, su riesgo moral, su ocupación, la oportunidad en el cumplimiento de las obligaciones que contrae, así como los aspectos objetivos del riesgo que se relacionan con las condiciones físicas de los mismos que lo hacen más o menos azaroso, por lo que un mal riesgo físico se puede neutralizar cobrando más prima; un mal riesgo moral no se compensa con nada.</w:t>
      </w:r>
    </w:p>
    <w:p w14:paraId="4899ECE8" w14:textId="77777777" w:rsidR="00763CA9" w:rsidRPr="000113B8" w:rsidRDefault="00763CA9" w:rsidP="00763CA9">
      <w:pPr>
        <w:jc w:val="both"/>
        <w:rPr>
          <w:rFonts w:ascii="Garamond" w:hAnsi="Garamond" w:cs="Arial"/>
          <w:color w:val="000000" w:themeColor="text1"/>
        </w:rPr>
      </w:pPr>
    </w:p>
    <w:p w14:paraId="54225327" w14:textId="77777777" w:rsidR="00763CA9" w:rsidRPr="000113B8" w:rsidRDefault="00763CA9" w:rsidP="00C54B99">
      <w:pPr>
        <w:pStyle w:val="Prrafodelista"/>
        <w:widowControl/>
        <w:numPr>
          <w:ilvl w:val="0"/>
          <w:numId w:val="28"/>
        </w:numPr>
        <w:autoSpaceDE/>
        <w:autoSpaceDN/>
        <w:spacing w:before="0" w:after="200"/>
        <w:contextualSpacing/>
        <w:jc w:val="both"/>
        <w:rPr>
          <w:rFonts w:ascii="Garamond" w:eastAsia="Batang" w:hAnsi="Garamond" w:cs="Arial"/>
          <w:b/>
          <w:color w:val="000000" w:themeColor="text1"/>
        </w:rPr>
      </w:pPr>
      <w:r w:rsidRPr="000113B8">
        <w:rPr>
          <w:rFonts w:ascii="Garamond" w:eastAsia="Batang" w:hAnsi="Garamond" w:cs="Arial"/>
          <w:b/>
          <w:color w:val="000000" w:themeColor="text1"/>
        </w:rPr>
        <w:t xml:space="preserve">La siniestralidad </w:t>
      </w:r>
    </w:p>
    <w:p w14:paraId="43DCD4F6" w14:textId="77777777" w:rsidR="00763CA9" w:rsidRPr="000113B8" w:rsidRDefault="00763CA9" w:rsidP="00763CA9">
      <w:pPr>
        <w:jc w:val="both"/>
        <w:rPr>
          <w:rFonts w:ascii="Garamond" w:eastAsia="Batang" w:hAnsi="Garamond" w:cs="Arial"/>
          <w:color w:val="000000" w:themeColor="text1"/>
        </w:rPr>
      </w:pPr>
      <w:r w:rsidRPr="000113B8">
        <w:rPr>
          <w:rFonts w:ascii="Garamond" w:eastAsia="Batang" w:hAnsi="Garamond" w:cs="Arial"/>
          <w:color w:val="000000" w:themeColor="text1"/>
        </w:rPr>
        <w:t>La siniestralidad constituye el factor más importante para considerar la prima pura de riesgo. Por ello, este análisis en primera medida considera la experiencia siniestral propia de la aseguradora frente al ramo, es decir, las estadísticas de siniestralidad correspondientes a los siniestros pagados y en reserva que la aseguradora tiene durante cierto periodo de tiempo que corresponde habitualmente a la generada durante los últimos 3 a 5 años.</w:t>
      </w:r>
    </w:p>
    <w:p w14:paraId="09E2BA63" w14:textId="77777777" w:rsidR="00763CA9" w:rsidRPr="000113B8" w:rsidRDefault="00763CA9" w:rsidP="00763CA9">
      <w:pPr>
        <w:jc w:val="both"/>
        <w:rPr>
          <w:rFonts w:ascii="Garamond" w:eastAsia="Batang" w:hAnsi="Garamond" w:cs="Arial"/>
          <w:color w:val="000000" w:themeColor="text1"/>
        </w:rPr>
      </w:pPr>
    </w:p>
    <w:p w14:paraId="5A151359" w14:textId="77777777" w:rsidR="00763CA9" w:rsidRPr="000113B8" w:rsidRDefault="00763CA9" w:rsidP="00763CA9">
      <w:pPr>
        <w:jc w:val="both"/>
        <w:rPr>
          <w:rFonts w:ascii="Garamond" w:eastAsia="Batang" w:hAnsi="Garamond" w:cs="Arial"/>
          <w:color w:val="000000" w:themeColor="text1"/>
        </w:rPr>
      </w:pPr>
      <w:r w:rsidRPr="000113B8">
        <w:rPr>
          <w:rFonts w:ascii="Garamond" w:eastAsia="Batang" w:hAnsi="Garamond" w:cs="Arial"/>
          <w:color w:val="000000" w:themeColor="text1"/>
        </w:rPr>
        <w:t xml:space="preserve">Es de precisarse que las aseguradoras realizan múltiples análisis de siniestralidad con el fin de ajustar sus tasas acordes al riesgo que van a asumir. </w:t>
      </w:r>
    </w:p>
    <w:p w14:paraId="75941DB0" w14:textId="77777777" w:rsidR="00763CA9" w:rsidRPr="000113B8" w:rsidRDefault="00763CA9" w:rsidP="00763CA9">
      <w:pPr>
        <w:jc w:val="both"/>
        <w:rPr>
          <w:rFonts w:ascii="Garamond" w:eastAsia="Batang" w:hAnsi="Garamond" w:cs="Arial"/>
          <w:color w:val="000000" w:themeColor="text1"/>
        </w:rPr>
      </w:pPr>
    </w:p>
    <w:p w14:paraId="4E43D968" w14:textId="77777777" w:rsidR="00763CA9" w:rsidRPr="000113B8" w:rsidRDefault="00763CA9" w:rsidP="00763CA9">
      <w:pPr>
        <w:jc w:val="both"/>
        <w:rPr>
          <w:rFonts w:ascii="Garamond" w:eastAsia="Batang" w:hAnsi="Garamond" w:cs="Arial"/>
          <w:color w:val="000000" w:themeColor="text1"/>
        </w:rPr>
      </w:pPr>
      <w:r w:rsidRPr="000113B8">
        <w:rPr>
          <w:rFonts w:ascii="Garamond" w:eastAsia="Batang" w:hAnsi="Garamond" w:cs="Arial"/>
          <w:color w:val="000000" w:themeColor="text1"/>
        </w:rPr>
        <w:t xml:space="preserve">Igualmente, existen eventos que por su severidad afectan la siniestralidad del sector generando aumentos en la tasa de prima de seguro, por lo que se debe tener en consideración el nivel de exposición de la actividad el cual es alto y por tanto difiere de un seguro de vida grupo que manejan otras entidades estatales. </w:t>
      </w:r>
    </w:p>
    <w:p w14:paraId="1BF836FC" w14:textId="77777777" w:rsidR="00763CA9" w:rsidRPr="000113B8" w:rsidRDefault="00763CA9" w:rsidP="00763CA9">
      <w:pPr>
        <w:jc w:val="both"/>
        <w:rPr>
          <w:rFonts w:ascii="Garamond" w:eastAsia="Batang" w:hAnsi="Garamond" w:cs="Arial"/>
          <w:color w:val="000000" w:themeColor="text1"/>
        </w:rPr>
      </w:pPr>
    </w:p>
    <w:p w14:paraId="1C6230F9" w14:textId="77777777" w:rsidR="00763CA9" w:rsidRPr="000113B8" w:rsidRDefault="00763CA9" w:rsidP="00763CA9">
      <w:pPr>
        <w:jc w:val="both"/>
        <w:rPr>
          <w:rFonts w:ascii="Garamond" w:eastAsia="Batang" w:hAnsi="Garamond" w:cs="Arial"/>
          <w:color w:val="000000" w:themeColor="text1"/>
        </w:rPr>
      </w:pPr>
      <w:r w:rsidRPr="000113B8">
        <w:rPr>
          <w:rFonts w:ascii="Garamond" w:eastAsia="Batang" w:hAnsi="Garamond" w:cs="Arial"/>
          <w:color w:val="000000" w:themeColor="text1"/>
        </w:rPr>
        <w:t>Conforme lo anterior, se precisa que la Entidad no tiene siniestralidad y que la siniestralidad en general del mercado es la siguiente:</w:t>
      </w:r>
    </w:p>
    <w:p w14:paraId="7DFD889C" w14:textId="77777777" w:rsidR="00763CA9" w:rsidRPr="000113B8" w:rsidRDefault="00763CA9" w:rsidP="00763CA9">
      <w:pPr>
        <w:jc w:val="both"/>
        <w:rPr>
          <w:rFonts w:ascii="Garamond" w:eastAsia="Batang" w:hAnsi="Garamond" w:cs="Arial"/>
          <w:color w:val="000000" w:themeColor="text1"/>
        </w:rPr>
      </w:pPr>
    </w:p>
    <w:p w14:paraId="026EC5CE" w14:textId="77777777" w:rsidR="00763CA9" w:rsidRPr="000113B8" w:rsidRDefault="00763CA9" w:rsidP="00763CA9">
      <w:pPr>
        <w:jc w:val="center"/>
        <w:rPr>
          <w:rFonts w:ascii="Garamond" w:eastAsia="Batang" w:hAnsi="Garamond" w:cs="Arial"/>
          <w:color w:val="000000" w:themeColor="text1"/>
        </w:rPr>
      </w:pPr>
      <w:r w:rsidRPr="000113B8">
        <w:rPr>
          <w:rFonts w:ascii="Garamond" w:eastAsia="Batang" w:hAnsi="Garamond"/>
          <w:noProof/>
          <w:color w:val="000000" w:themeColor="text1"/>
        </w:rPr>
        <w:drawing>
          <wp:inline distT="0" distB="0" distL="0" distR="0" wp14:anchorId="7784FC15" wp14:editId="43C7ACE3">
            <wp:extent cx="4257675" cy="1000125"/>
            <wp:effectExtent l="38100" t="38100" r="47625" b="47625"/>
            <wp:docPr id="505560258"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257675" cy="1000125"/>
                    </a:xfrm>
                    <a:prstGeom prst="rect">
                      <a:avLst/>
                    </a:prstGeom>
                    <a:noFill/>
                    <a:ln w="38100" cmpd="sng">
                      <a:solidFill>
                        <a:srgbClr val="000000"/>
                      </a:solidFill>
                      <a:miter lim="800000"/>
                      <a:headEnd/>
                      <a:tailEnd/>
                    </a:ln>
                    <a:effectLst/>
                  </pic:spPr>
                </pic:pic>
              </a:graphicData>
            </a:graphic>
          </wp:inline>
        </w:drawing>
      </w:r>
    </w:p>
    <w:p w14:paraId="6EA7307F" w14:textId="77777777" w:rsidR="00763CA9" w:rsidRPr="000113B8" w:rsidRDefault="00763CA9" w:rsidP="00763CA9">
      <w:pPr>
        <w:ind w:right="104"/>
        <w:contextualSpacing/>
        <w:jc w:val="center"/>
        <w:rPr>
          <w:rFonts w:ascii="Garamond" w:hAnsi="Garamond" w:cs="Arial"/>
          <w:color w:val="000000" w:themeColor="text1"/>
        </w:rPr>
      </w:pPr>
      <w:r w:rsidRPr="000113B8">
        <w:rPr>
          <w:rFonts w:ascii="Garamond" w:hAnsi="Garamond" w:cs="Arial"/>
          <w:color w:val="000000" w:themeColor="text1"/>
        </w:rPr>
        <w:t>Fuente: FASECOLDA – Principales cifras de la Industria enero de 2026</w:t>
      </w:r>
    </w:p>
    <w:p w14:paraId="2F5B3B9F" w14:textId="77777777" w:rsidR="00763CA9" w:rsidRPr="000113B8" w:rsidRDefault="00763CA9" w:rsidP="00763CA9">
      <w:pPr>
        <w:jc w:val="both"/>
        <w:rPr>
          <w:rFonts w:ascii="Garamond" w:eastAsia="Batang" w:hAnsi="Garamond" w:cs="Arial"/>
          <w:color w:val="000000" w:themeColor="text1"/>
        </w:rPr>
      </w:pPr>
    </w:p>
    <w:p w14:paraId="5A0B1E19" w14:textId="77777777" w:rsidR="00763CA9" w:rsidRPr="000113B8" w:rsidRDefault="00763CA9" w:rsidP="00C54B99">
      <w:pPr>
        <w:pStyle w:val="Prrafodelista"/>
        <w:widowControl/>
        <w:numPr>
          <w:ilvl w:val="0"/>
          <w:numId w:val="28"/>
        </w:numPr>
        <w:autoSpaceDE/>
        <w:autoSpaceDN/>
        <w:spacing w:before="0" w:after="200"/>
        <w:contextualSpacing/>
        <w:jc w:val="both"/>
        <w:rPr>
          <w:rFonts w:ascii="Garamond" w:eastAsia="Batang" w:hAnsi="Garamond" w:cs="Arial"/>
          <w:b/>
          <w:color w:val="000000" w:themeColor="text1"/>
        </w:rPr>
      </w:pPr>
      <w:r w:rsidRPr="000113B8">
        <w:rPr>
          <w:rFonts w:ascii="Garamond" w:eastAsia="Batang" w:hAnsi="Garamond" w:cs="Arial"/>
          <w:b/>
          <w:color w:val="000000" w:themeColor="text1"/>
        </w:rPr>
        <w:t>Análisis del riesgo a asegurar</w:t>
      </w:r>
    </w:p>
    <w:p w14:paraId="778E8F07" w14:textId="77777777" w:rsidR="00763CA9" w:rsidRPr="000113B8" w:rsidRDefault="00763CA9" w:rsidP="00763CA9">
      <w:pPr>
        <w:jc w:val="both"/>
        <w:rPr>
          <w:rFonts w:ascii="Garamond" w:eastAsia="Batang" w:hAnsi="Garamond" w:cs="Arial"/>
          <w:color w:val="000000" w:themeColor="text1"/>
        </w:rPr>
      </w:pPr>
      <w:r w:rsidRPr="000113B8">
        <w:rPr>
          <w:rFonts w:ascii="Garamond" w:eastAsia="Batang" w:hAnsi="Garamond" w:cs="Arial"/>
          <w:color w:val="000000" w:themeColor="text1"/>
        </w:rPr>
        <w:t xml:space="preserve">La aseguradora además del análisis de la siniestralidad realiza un análisis del riesgo a asegurar teniendo en cuenta los aspectos subjetivos y objetivos del riesgo. </w:t>
      </w:r>
    </w:p>
    <w:p w14:paraId="3311F99A" w14:textId="77777777" w:rsidR="00763CA9" w:rsidRPr="000113B8" w:rsidRDefault="00763CA9" w:rsidP="00763CA9">
      <w:pPr>
        <w:jc w:val="both"/>
        <w:rPr>
          <w:rFonts w:ascii="Garamond" w:eastAsia="Batang" w:hAnsi="Garamond" w:cs="Arial"/>
          <w:color w:val="000000" w:themeColor="text1"/>
        </w:rPr>
      </w:pPr>
    </w:p>
    <w:p w14:paraId="53A15EBD" w14:textId="77777777" w:rsidR="00763CA9" w:rsidRPr="000113B8" w:rsidRDefault="00763CA9" w:rsidP="00763CA9">
      <w:pPr>
        <w:jc w:val="both"/>
        <w:rPr>
          <w:rFonts w:ascii="Garamond" w:eastAsia="Batang" w:hAnsi="Garamond" w:cs="Arial"/>
          <w:color w:val="000000" w:themeColor="text1"/>
        </w:rPr>
      </w:pPr>
      <w:r w:rsidRPr="000113B8">
        <w:rPr>
          <w:rFonts w:ascii="Garamond" w:eastAsia="Batang" w:hAnsi="Garamond" w:cs="Arial"/>
          <w:color w:val="000000" w:themeColor="text1"/>
        </w:rPr>
        <w:t xml:space="preserve">En el caso de una entidad como el </w:t>
      </w:r>
      <w:r w:rsidRPr="000113B8">
        <w:rPr>
          <w:rFonts w:ascii="Garamond" w:eastAsia="Batang" w:hAnsi="Garamond" w:cs="Arial"/>
          <w:b/>
          <w:bCs/>
          <w:color w:val="000000" w:themeColor="text1"/>
        </w:rPr>
        <w:t>Fondo de Desarrollo Rural de Sumapaz</w:t>
      </w:r>
      <w:r w:rsidRPr="000113B8">
        <w:rPr>
          <w:rFonts w:ascii="Garamond" w:eastAsia="Batang" w:hAnsi="Garamond" w:cs="Arial"/>
          <w:color w:val="000000" w:themeColor="text1"/>
        </w:rPr>
        <w:t>, el riesgo subjetivo tiene una directa relación con las situaciones que atañen a la gobernabilidad del país, por lo cual, los anuncios y políticas adoptadas por el Gobierno Nacional en temas financieros y sociales generan un panorama de incertidumbre constante, lo cual puede afectar los costos de los seguros, aun cuando se ha observado que en contratación de algunos ramos de seguros las aseguradoras están ofertando buenas condiciones, por su misma dinámica y competitividad.</w:t>
      </w:r>
    </w:p>
    <w:p w14:paraId="70BC51AC" w14:textId="77777777" w:rsidR="00763CA9" w:rsidRPr="000113B8" w:rsidRDefault="00763CA9" w:rsidP="00763CA9">
      <w:pPr>
        <w:jc w:val="both"/>
        <w:rPr>
          <w:rFonts w:ascii="Garamond" w:eastAsia="Batang" w:hAnsi="Garamond" w:cs="Arial"/>
          <w:color w:val="000000" w:themeColor="text1"/>
        </w:rPr>
      </w:pPr>
    </w:p>
    <w:p w14:paraId="03962B99" w14:textId="77777777" w:rsidR="00763CA9" w:rsidRPr="000113B8" w:rsidRDefault="00763CA9" w:rsidP="00C54B99">
      <w:pPr>
        <w:pStyle w:val="Prrafodelista"/>
        <w:widowControl/>
        <w:numPr>
          <w:ilvl w:val="0"/>
          <w:numId w:val="23"/>
        </w:numPr>
        <w:autoSpaceDE/>
        <w:autoSpaceDN/>
        <w:spacing w:before="0" w:after="200"/>
        <w:contextualSpacing/>
        <w:jc w:val="both"/>
        <w:rPr>
          <w:rFonts w:ascii="Garamond" w:eastAsia="Batang" w:hAnsi="Garamond" w:cs="Arial"/>
          <w:b/>
          <w:bCs/>
          <w:color w:val="000000" w:themeColor="text1"/>
        </w:rPr>
      </w:pPr>
      <w:bookmarkStart w:id="25" w:name="_Hlk220076810"/>
      <w:r w:rsidRPr="000113B8">
        <w:rPr>
          <w:rFonts w:ascii="Garamond" w:eastAsia="Batang" w:hAnsi="Garamond" w:cs="Arial"/>
          <w:b/>
          <w:bCs/>
          <w:color w:val="000000" w:themeColor="text1"/>
        </w:rPr>
        <w:t>Valores asegurados</w:t>
      </w:r>
    </w:p>
    <w:bookmarkEnd w:id="25"/>
    <w:p w14:paraId="058A45BF" w14:textId="77777777" w:rsidR="00763CA9" w:rsidRPr="000113B8" w:rsidRDefault="00763CA9" w:rsidP="00763CA9">
      <w:pPr>
        <w:jc w:val="both"/>
        <w:rPr>
          <w:rFonts w:ascii="Garamond" w:hAnsi="Garamond" w:cs="Arial"/>
          <w:color w:val="000000" w:themeColor="text1"/>
        </w:rPr>
      </w:pPr>
      <w:r w:rsidRPr="000113B8">
        <w:rPr>
          <w:rFonts w:ascii="Garamond" w:hAnsi="Garamond" w:cs="Arial"/>
          <w:color w:val="000000" w:themeColor="text1"/>
        </w:rPr>
        <w:t xml:space="preserve">Conforme a lo dispuesto en el artículo 1082 del Código de Comercio, </w:t>
      </w:r>
      <w:r w:rsidRPr="000113B8">
        <w:rPr>
          <w:rFonts w:ascii="Garamond" w:hAnsi="Garamond" w:cs="Arial"/>
          <w:i/>
          <w:iCs/>
          <w:color w:val="000000" w:themeColor="text1"/>
        </w:rPr>
        <w:t>“Los seguros podrán ser de daños o de personas…”</w:t>
      </w:r>
      <w:r w:rsidRPr="000113B8">
        <w:rPr>
          <w:rFonts w:ascii="Garamond" w:hAnsi="Garamond" w:cs="Arial"/>
          <w:color w:val="000000" w:themeColor="text1"/>
        </w:rPr>
        <w:t xml:space="preserve">. </w:t>
      </w:r>
    </w:p>
    <w:p w14:paraId="24A25208" w14:textId="77777777" w:rsidR="00763CA9" w:rsidRPr="000113B8" w:rsidRDefault="00763CA9" w:rsidP="00763CA9">
      <w:pPr>
        <w:jc w:val="both"/>
        <w:rPr>
          <w:rFonts w:ascii="Garamond" w:hAnsi="Garamond" w:cs="Arial"/>
          <w:color w:val="000000" w:themeColor="text1"/>
        </w:rPr>
      </w:pPr>
    </w:p>
    <w:p w14:paraId="4A7BAC6A" w14:textId="77777777" w:rsidR="00763CA9" w:rsidRPr="000113B8" w:rsidRDefault="00763CA9" w:rsidP="00763CA9">
      <w:pPr>
        <w:jc w:val="both"/>
        <w:rPr>
          <w:rFonts w:ascii="Garamond" w:hAnsi="Garamond" w:cs="Arial"/>
          <w:color w:val="000000" w:themeColor="text1"/>
        </w:rPr>
      </w:pPr>
      <w:r w:rsidRPr="000113B8">
        <w:rPr>
          <w:rFonts w:ascii="Garamond" w:hAnsi="Garamond" w:cs="Arial"/>
          <w:color w:val="000000" w:themeColor="text1"/>
        </w:rPr>
        <w:t xml:space="preserve">Para establecer el valor asegurado en la póliza requerida por la Entidad, se tiene en cuenta lo dispuesto por el artículo 72 del Decreto Ley 1421 de 1993, en concordancia con el artículo 34 </w:t>
      </w:r>
      <w:proofErr w:type="spellStart"/>
      <w:r w:rsidRPr="000113B8">
        <w:rPr>
          <w:rFonts w:ascii="Garamond" w:hAnsi="Garamond" w:cs="Arial"/>
          <w:color w:val="000000" w:themeColor="text1"/>
        </w:rPr>
        <w:t>ibídem</w:t>
      </w:r>
      <w:proofErr w:type="spellEnd"/>
      <w:r w:rsidRPr="000113B8">
        <w:rPr>
          <w:rFonts w:ascii="Garamond" w:hAnsi="Garamond" w:cs="Arial"/>
          <w:color w:val="000000" w:themeColor="text1"/>
        </w:rPr>
        <w:t>, en el cual se indica que la suma asegurada corresponde a 300 SMMLV por edil”.</w:t>
      </w:r>
    </w:p>
    <w:p w14:paraId="059246AA" w14:textId="77777777" w:rsidR="00763CA9" w:rsidRPr="000113B8" w:rsidRDefault="00763CA9" w:rsidP="00763CA9">
      <w:pPr>
        <w:jc w:val="both"/>
        <w:rPr>
          <w:rFonts w:ascii="Garamond" w:eastAsia="Batang" w:hAnsi="Garamond" w:cs="Arial"/>
          <w:b/>
          <w:bCs/>
          <w:color w:val="000000" w:themeColor="text1"/>
        </w:rPr>
      </w:pPr>
    </w:p>
    <w:p w14:paraId="57AD9E4E" w14:textId="77777777" w:rsidR="00763CA9" w:rsidRPr="000113B8" w:rsidRDefault="00763CA9" w:rsidP="00C54B99">
      <w:pPr>
        <w:pStyle w:val="Prrafodelista"/>
        <w:widowControl/>
        <w:numPr>
          <w:ilvl w:val="0"/>
          <w:numId w:val="23"/>
        </w:numPr>
        <w:autoSpaceDE/>
        <w:autoSpaceDN/>
        <w:spacing w:before="0" w:after="200"/>
        <w:contextualSpacing/>
        <w:jc w:val="both"/>
        <w:rPr>
          <w:rFonts w:ascii="Garamond" w:hAnsi="Garamond" w:cs="Arial"/>
          <w:b/>
          <w:bCs/>
          <w:color w:val="000000" w:themeColor="text1"/>
        </w:rPr>
      </w:pPr>
      <w:r w:rsidRPr="000113B8">
        <w:rPr>
          <w:rFonts w:ascii="Garamond" w:hAnsi="Garamond" w:cs="Arial"/>
          <w:b/>
          <w:bCs/>
          <w:color w:val="000000" w:themeColor="text1"/>
        </w:rPr>
        <w:t>Elaboración de estudio de mercado</w:t>
      </w:r>
    </w:p>
    <w:p w14:paraId="5539F7AC" w14:textId="77777777" w:rsidR="00763CA9" w:rsidRPr="000113B8" w:rsidRDefault="00763CA9" w:rsidP="00763CA9">
      <w:pPr>
        <w:jc w:val="both"/>
        <w:rPr>
          <w:rFonts w:ascii="Garamond" w:hAnsi="Garamond" w:cs="Arial"/>
          <w:color w:val="000000" w:themeColor="text1"/>
        </w:rPr>
      </w:pPr>
      <w:r w:rsidRPr="000113B8">
        <w:rPr>
          <w:rFonts w:ascii="Garamond" w:hAnsi="Garamond" w:cs="Arial"/>
          <w:color w:val="000000" w:themeColor="text1"/>
        </w:rPr>
        <w:t>Teniendo en cuenta que</w:t>
      </w:r>
      <w:r w:rsidRPr="000113B8">
        <w:rPr>
          <w:rFonts w:ascii="Garamond" w:hAnsi="Garamond" w:cs="Arial"/>
          <w:color w:val="000000" w:themeColor="text1"/>
          <w:lang w:val="es-MX"/>
        </w:rPr>
        <w:t xml:space="preserve"> </w:t>
      </w:r>
      <w:bookmarkStart w:id="26" w:name="_Hlk164827048"/>
      <w:r w:rsidRPr="000113B8">
        <w:rPr>
          <w:rFonts w:ascii="Garamond" w:hAnsi="Garamond" w:cs="Arial"/>
          <w:color w:val="000000" w:themeColor="text1"/>
        </w:rPr>
        <w:t xml:space="preserve">las compañías de seguros no acostumbran a presentar cotizaciones o suministrar tasas aplicables para la elaboración del estudio de mercado, teniendo en cuenta </w:t>
      </w:r>
      <w:r w:rsidRPr="000113B8">
        <w:rPr>
          <w:rFonts w:ascii="Garamond" w:hAnsi="Garamond" w:cs="Arial"/>
          <w:color w:val="000000" w:themeColor="text1"/>
          <w:lang w:val="es-MX"/>
        </w:rPr>
        <w:t xml:space="preserve">sus políticas internas las cuales exigen que el proceso se encuentre formalmente publicado, </w:t>
      </w:r>
      <w:r w:rsidRPr="000113B8">
        <w:rPr>
          <w:rFonts w:ascii="Garamond" w:hAnsi="Garamond" w:cs="Arial"/>
          <w:color w:val="000000" w:themeColor="text1"/>
        </w:rPr>
        <w:t>para la estimación del costo del proceso de selección, se tomaron algunos clientes estatales en los que JARGU S.A. CORREDORES DE SEGUROS, ha participado en la adjudicación de la contratación de pólizas de seguros relacionadas con el objeto de la presente contratación en los últimos años, para lo cual se procedió a la siguiente metodología:</w:t>
      </w:r>
    </w:p>
    <w:p w14:paraId="2BDF69F0" w14:textId="77777777" w:rsidR="00763CA9" w:rsidRPr="000113B8" w:rsidRDefault="00763CA9" w:rsidP="00763CA9">
      <w:pPr>
        <w:pStyle w:val="Prrafodelista"/>
        <w:ind w:left="720" w:firstLine="0"/>
        <w:jc w:val="both"/>
        <w:rPr>
          <w:rFonts w:ascii="Garamond" w:hAnsi="Garamond" w:cs="Arial"/>
          <w:color w:val="000000" w:themeColor="text1"/>
        </w:rPr>
      </w:pPr>
    </w:p>
    <w:bookmarkEnd w:id="26"/>
    <w:p w14:paraId="34EFD79B" w14:textId="77777777" w:rsidR="00763CA9" w:rsidRPr="000113B8" w:rsidRDefault="00763CA9" w:rsidP="00763CA9">
      <w:pPr>
        <w:pStyle w:val="Prrafodelista"/>
        <w:ind w:left="567" w:hanging="283"/>
        <w:jc w:val="both"/>
        <w:rPr>
          <w:rFonts w:ascii="Garamond" w:hAnsi="Garamond" w:cs="Arial"/>
          <w:color w:val="000000" w:themeColor="text1"/>
        </w:rPr>
      </w:pPr>
      <w:r w:rsidRPr="000113B8">
        <w:rPr>
          <w:rFonts w:ascii="Garamond" w:hAnsi="Garamond" w:cs="Arial"/>
          <w:color w:val="000000" w:themeColor="text1"/>
        </w:rPr>
        <w:t>a)</w:t>
      </w:r>
      <w:r w:rsidRPr="000113B8">
        <w:rPr>
          <w:rFonts w:ascii="Garamond" w:hAnsi="Garamond" w:cs="Arial"/>
          <w:color w:val="000000" w:themeColor="text1"/>
        </w:rPr>
        <w:tab/>
        <w:t>Se tuvo en cuenta la tasa actual de la póliza de la Entidad, la cual fue obtenida del último proceso de contratación.</w:t>
      </w:r>
    </w:p>
    <w:p w14:paraId="702F30B8" w14:textId="77777777" w:rsidR="00763CA9" w:rsidRPr="000113B8" w:rsidRDefault="00763CA9" w:rsidP="00763CA9">
      <w:pPr>
        <w:pStyle w:val="Prrafodelista"/>
        <w:ind w:left="567" w:hanging="283"/>
        <w:jc w:val="both"/>
        <w:rPr>
          <w:rFonts w:ascii="Garamond" w:hAnsi="Garamond" w:cs="Arial"/>
          <w:color w:val="000000" w:themeColor="text1"/>
        </w:rPr>
      </w:pPr>
      <w:r w:rsidRPr="000113B8">
        <w:rPr>
          <w:rFonts w:ascii="Garamond" w:hAnsi="Garamond" w:cs="Arial"/>
          <w:color w:val="000000" w:themeColor="text1"/>
        </w:rPr>
        <w:t>b)</w:t>
      </w:r>
      <w:r w:rsidRPr="000113B8">
        <w:rPr>
          <w:rFonts w:ascii="Garamond" w:hAnsi="Garamond" w:cs="Arial"/>
          <w:color w:val="000000" w:themeColor="text1"/>
        </w:rPr>
        <w:tab/>
        <w:t>Se tomaron las tasas de procesos de selección de similares características.</w:t>
      </w:r>
    </w:p>
    <w:p w14:paraId="5D6CF3C2" w14:textId="77777777" w:rsidR="00763CA9" w:rsidRPr="000113B8" w:rsidRDefault="00763CA9" w:rsidP="00763CA9">
      <w:pPr>
        <w:pStyle w:val="Prrafodelista"/>
        <w:ind w:left="567" w:hanging="283"/>
        <w:jc w:val="both"/>
        <w:rPr>
          <w:rFonts w:ascii="Garamond" w:hAnsi="Garamond" w:cs="Arial"/>
          <w:color w:val="000000" w:themeColor="text1"/>
        </w:rPr>
      </w:pPr>
      <w:r w:rsidRPr="000113B8">
        <w:rPr>
          <w:rFonts w:ascii="Garamond" w:hAnsi="Garamond" w:cs="Arial"/>
          <w:color w:val="000000" w:themeColor="text1"/>
        </w:rPr>
        <w:t>c)   Se calculó la tasa promedio.</w:t>
      </w:r>
    </w:p>
    <w:p w14:paraId="2772A02A" w14:textId="5436D3A9" w:rsidR="00D77A10" w:rsidRPr="000113B8" w:rsidRDefault="00D77A10" w:rsidP="00D77A10">
      <w:pPr>
        <w:rPr>
          <w:rFonts w:ascii="Garamond" w:eastAsia="Garamond" w:hAnsi="Garamond" w:cs="Garamond"/>
          <w:b/>
          <w:bCs/>
          <w:color w:val="000000" w:themeColor="text1"/>
        </w:rPr>
      </w:pPr>
      <w:r w:rsidRPr="000113B8">
        <w:rPr>
          <w:rFonts w:ascii="Garamond" w:eastAsia="Garamond" w:hAnsi="Garamond" w:cs="Garamond"/>
          <w:b/>
          <w:bCs/>
          <w:color w:val="000000" w:themeColor="text1"/>
        </w:rPr>
        <w:t xml:space="preserve">  </w:t>
      </w:r>
      <w:r w:rsidRPr="000113B8">
        <w:rPr>
          <w:rFonts w:ascii="Garamond" w:hAnsi="Garamond"/>
          <w:noProof/>
          <w:color w:val="000000" w:themeColor="text1"/>
        </w:rPr>
        <w:drawing>
          <wp:inline distT="0" distB="0" distL="0" distR="0" wp14:anchorId="5662EF22" wp14:editId="120D634B">
            <wp:extent cx="5943600" cy="1666660"/>
            <wp:effectExtent l="38100" t="38100" r="38100" b="29210"/>
            <wp:docPr id="110423579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43600" cy="1666660"/>
                    </a:xfrm>
                    <a:prstGeom prst="rect">
                      <a:avLst/>
                    </a:prstGeom>
                    <a:noFill/>
                    <a:ln w="38100">
                      <a:solidFill>
                        <a:schemeClr val="tx1"/>
                      </a:solidFill>
                    </a:ln>
                  </pic:spPr>
                </pic:pic>
              </a:graphicData>
            </a:graphic>
          </wp:inline>
        </w:drawing>
      </w:r>
    </w:p>
    <w:p w14:paraId="214EFEB4" w14:textId="77777777" w:rsidR="003E7F6B" w:rsidRPr="000113B8" w:rsidRDefault="003E7F6B" w:rsidP="003E7F6B">
      <w:pPr>
        <w:jc w:val="center"/>
        <w:rPr>
          <w:rFonts w:ascii="Garamond" w:eastAsia="Arial Narrow" w:hAnsi="Garamond" w:cs="Arial"/>
          <w:color w:val="000000" w:themeColor="text1"/>
        </w:rPr>
      </w:pPr>
      <w:r w:rsidRPr="000113B8">
        <w:rPr>
          <w:rFonts w:ascii="Garamond" w:eastAsia="Arial Narrow" w:hAnsi="Garamond" w:cs="Arial"/>
          <w:color w:val="000000" w:themeColor="text1"/>
        </w:rPr>
        <w:t>Fuente: Anexo No. 2 Estudio de mercado</w:t>
      </w:r>
    </w:p>
    <w:p w14:paraId="6E8E0080" w14:textId="77777777" w:rsidR="003E7F6B" w:rsidRPr="000113B8" w:rsidRDefault="003E7F6B" w:rsidP="003E7F6B">
      <w:pPr>
        <w:ind w:left="306" w:hanging="306"/>
        <w:jc w:val="center"/>
        <w:rPr>
          <w:rFonts w:ascii="Garamond" w:hAnsi="Garamond" w:cs="Arial"/>
          <w:color w:val="000000" w:themeColor="text1"/>
        </w:rPr>
      </w:pPr>
    </w:p>
    <w:p w14:paraId="58B628C8" w14:textId="77777777" w:rsidR="003E7F6B" w:rsidRPr="000113B8" w:rsidRDefault="003E7F6B" w:rsidP="003E7F6B">
      <w:pPr>
        <w:ind w:left="306" w:hanging="306"/>
        <w:jc w:val="both"/>
        <w:rPr>
          <w:rFonts w:ascii="Garamond" w:hAnsi="Garamond" w:cs="Arial"/>
          <w:iCs/>
          <w:color w:val="000000" w:themeColor="text1"/>
        </w:rPr>
      </w:pPr>
      <w:r w:rsidRPr="000113B8">
        <w:rPr>
          <w:rFonts w:ascii="Garamond" w:hAnsi="Garamond" w:cs="Arial"/>
          <w:color w:val="000000" w:themeColor="text1"/>
        </w:rPr>
        <w:t xml:space="preserve">c)  Con base en la tasa promedio se llevó a cabo el cálculo del valor </w:t>
      </w:r>
      <w:r w:rsidRPr="000113B8">
        <w:rPr>
          <w:rFonts w:ascii="Garamond" w:hAnsi="Garamond" w:cs="Arial"/>
          <w:iCs/>
          <w:color w:val="000000" w:themeColor="text1"/>
        </w:rPr>
        <w:t>de la prima, el cual resulta de multiplicar el valor asegurado por la tasa promedio y el número de días a contratar.</w:t>
      </w:r>
    </w:p>
    <w:p w14:paraId="5F476B47" w14:textId="77777777" w:rsidR="003E7F6B" w:rsidRPr="000113B8" w:rsidRDefault="003E7F6B" w:rsidP="003E7F6B">
      <w:pPr>
        <w:ind w:left="306" w:hanging="306"/>
        <w:jc w:val="both"/>
        <w:rPr>
          <w:rFonts w:ascii="Garamond" w:hAnsi="Garamond" w:cs="Arial"/>
          <w:color w:val="000000" w:themeColor="text1"/>
        </w:rPr>
      </w:pPr>
    </w:p>
    <w:p w14:paraId="51EB6ED7" w14:textId="77777777" w:rsidR="003E7F6B" w:rsidRPr="000113B8" w:rsidRDefault="003E7F6B" w:rsidP="003E7F6B">
      <w:pPr>
        <w:ind w:left="306" w:hanging="306"/>
        <w:jc w:val="both"/>
        <w:rPr>
          <w:rFonts w:ascii="Garamond" w:hAnsi="Garamond" w:cs="Arial"/>
          <w:color w:val="000000" w:themeColor="text1"/>
        </w:rPr>
      </w:pPr>
      <w:r w:rsidRPr="000113B8">
        <w:rPr>
          <w:rFonts w:ascii="Garamond" w:hAnsi="Garamond" w:cs="Arial"/>
          <w:color w:val="000000" w:themeColor="text1"/>
        </w:rPr>
        <w:lastRenderedPageBreak/>
        <w:t>Igualmente es pertinente indicar que:</w:t>
      </w:r>
    </w:p>
    <w:p w14:paraId="50080519" w14:textId="77777777" w:rsidR="003E7F6B" w:rsidRPr="000113B8" w:rsidRDefault="003E7F6B" w:rsidP="003E7F6B">
      <w:pPr>
        <w:ind w:left="306" w:hanging="306"/>
        <w:jc w:val="both"/>
        <w:rPr>
          <w:rFonts w:ascii="Garamond" w:hAnsi="Garamond" w:cs="Arial"/>
          <w:color w:val="000000" w:themeColor="text1"/>
        </w:rPr>
      </w:pPr>
    </w:p>
    <w:p w14:paraId="5EB86580" w14:textId="77777777" w:rsidR="003E7F6B" w:rsidRPr="000113B8" w:rsidRDefault="003E7F6B" w:rsidP="00C54B99">
      <w:pPr>
        <w:pStyle w:val="Prrafodelista"/>
        <w:numPr>
          <w:ilvl w:val="0"/>
          <w:numId w:val="28"/>
        </w:numPr>
        <w:autoSpaceDE/>
        <w:autoSpaceDN/>
        <w:spacing w:before="0"/>
        <w:contextualSpacing/>
        <w:jc w:val="both"/>
        <w:rPr>
          <w:rFonts w:ascii="Garamond" w:hAnsi="Garamond" w:cs="Arial"/>
          <w:iCs/>
          <w:color w:val="000000" w:themeColor="text1"/>
        </w:rPr>
      </w:pPr>
      <w:r w:rsidRPr="000113B8">
        <w:rPr>
          <w:rFonts w:ascii="Garamond" w:hAnsi="Garamond" w:cs="Arial"/>
          <w:color w:val="000000" w:themeColor="text1"/>
        </w:rPr>
        <w:t xml:space="preserve">El valor asegurado corresponde al límite asegurado individual en SMMLV multiplicado por el número de asegurados. </w:t>
      </w:r>
    </w:p>
    <w:p w14:paraId="631ABC09" w14:textId="77777777" w:rsidR="003E7F6B" w:rsidRPr="000113B8" w:rsidRDefault="003E7F6B" w:rsidP="00C54B99">
      <w:pPr>
        <w:pStyle w:val="Prrafodelista"/>
        <w:numPr>
          <w:ilvl w:val="0"/>
          <w:numId w:val="28"/>
        </w:numPr>
        <w:autoSpaceDE/>
        <w:autoSpaceDN/>
        <w:spacing w:before="0"/>
        <w:contextualSpacing/>
        <w:jc w:val="both"/>
        <w:rPr>
          <w:rFonts w:ascii="Garamond" w:hAnsi="Garamond" w:cs="Arial"/>
          <w:iCs/>
          <w:color w:val="000000" w:themeColor="text1"/>
        </w:rPr>
      </w:pPr>
      <w:r w:rsidRPr="000113B8">
        <w:rPr>
          <w:rFonts w:ascii="Garamond" w:hAnsi="Garamond" w:cs="Arial"/>
          <w:iCs/>
          <w:color w:val="000000" w:themeColor="text1"/>
        </w:rPr>
        <w:t xml:space="preserve">Se precisa que no se pretende contratar la anualidad completa, teniendo en cuenta el presupuesto disponible por el </w:t>
      </w:r>
      <w:r w:rsidRPr="000113B8">
        <w:rPr>
          <w:rFonts w:ascii="Garamond" w:hAnsi="Garamond" w:cs="Arial"/>
          <w:b/>
          <w:bCs/>
          <w:iCs/>
          <w:color w:val="000000" w:themeColor="text1"/>
        </w:rPr>
        <w:t>Fondo de Desarrollo Rural de Sumapaz</w:t>
      </w:r>
      <w:r w:rsidRPr="000113B8">
        <w:rPr>
          <w:rFonts w:ascii="Garamond" w:hAnsi="Garamond" w:cs="Arial"/>
          <w:iCs/>
          <w:color w:val="000000" w:themeColor="text1"/>
        </w:rPr>
        <w:t xml:space="preserve">, por lo cual, la unidad de medida se establece en: </w:t>
      </w:r>
      <w:r w:rsidRPr="000113B8">
        <w:rPr>
          <w:rFonts w:ascii="Garamond" w:hAnsi="Garamond" w:cs="Arial"/>
          <w:b/>
          <w:bCs/>
          <w:iCs/>
          <w:color w:val="000000" w:themeColor="text1"/>
        </w:rPr>
        <w:t>TRESCIENTOS VEINTIOCHO (328) DÍAS</w:t>
      </w:r>
      <w:r w:rsidRPr="000113B8">
        <w:rPr>
          <w:rFonts w:ascii="Garamond" w:hAnsi="Garamond" w:cs="Arial"/>
          <w:iCs/>
          <w:color w:val="000000" w:themeColor="text1"/>
        </w:rPr>
        <w:t>.</w:t>
      </w:r>
    </w:p>
    <w:p w14:paraId="13AC8BA0" w14:textId="77777777" w:rsidR="003E7F6B" w:rsidRPr="000113B8" w:rsidRDefault="003E7F6B" w:rsidP="00C54B99">
      <w:pPr>
        <w:pStyle w:val="Prrafodelista"/>
        <w:numPr>
          <w:ilvl w:val="0"/>
          <w:numId w:val="28"/>
        </w:numPr>
        <w:autoSpaceDE/>
        <w:autoSpaceDN/>
        <w:spacing w:before="0"/>
        <w:contextualSpacing/>
        <w:jc w:val="both"/>
        <w:rPr>
          <w:rFonts w:ascii="Garamond" w:hAnsi="Garamond" w:cs="Arial"/>
          <w:iCs/>
          <w:color w:val="000000" w:themeColor="text1"/>
        </w:rPr>
      </w:pPr>
      <w:r w:rsidRPr="000113B8">
        <w:rPr>
          <w:rFonts w:ascii="Garamond" w:hAnsi="Garamond" w:cs="Arial"/>
          <w:iCs/>
          <w:color w:val="000000" w:themeColor="text1"/>
        </w:rPr>
        <w:t xml:space="preserve">La cobertura debe iniciar a las </w:t>
      </w:r>
      <w:r w:rsidRPr="000113B8">
        <w:rPr>
          <w:rFonts w:ascii="Garamond" w:hAnsi="Garamond" w:cs="Arial"/>
          <w:b/>
          <w:bCs/>
          <w:iCs/>
          <w:color w:val="000000" w:themeColor="text1"/>
        </w:rPr>
        <w:t>00:00 horas del 08 de mayo de 2026</w:t>
      </w:r>
      <w:r w:rsidRPr="000113B8">
        <w:rPr>
          <w:rFonts w:ascii="Garamond" w:hAnsi="Garamond" w:cs="Arial"/>
          <w:iCs/>
          <w:color w:val="000000" w:themeColor="text1"/>
        </w:rPr>
        <w:t xml:space="preserve">, es decir, </w:t>
      </w:r>
      <w:r w:rsidRPr="000113B8">
        <w:rPr>
          <w:rFonts w:ascii="Garamond" w:hAnsi="Garamond" w:cs="Arial"/>
          <w:color w:val="000000" w:themeColor="text1"/>
        </w:rPr>
        <w:t>contados a partir del vencimiento actual de la póliza. Lo anterior, con la finalidad no dejar interrupción o vacíos en la cobertura para los Ediles.</w:t>
      </w:r>
    </w:p>
    <w:p w14:paraId="5D75313F" w14:textId="77777777" w:rsidR="003E7F6B" w:rsidRPr="000113B8" w:rsidRDefault="003E7F6B" w:rsidP="003E7F6B">
      <w:pPr>
        <w:pStyle w:val="Prrafodelista"/>
        <w:ind w:left="0"/>
        <w:rPr>
          <w:rFonts w:ascii="Garamond" w:hAnsi="Garamond" w:cs="Arial"/>
          <w:iCs/>
          <w:color w:val="000000" w:themeColor="text1"/>
        </w:rPr>
      </w:pPr>
    </w:p>
    <w:p w14:paraId="73EF1999" w14:textId="77777777" w:rsidR="003E7F6B" w:rsidRPr="000113B8" w:rsidRDefault="003E7F6B" w:rsidP="003E7F6B">
      <w:pPr>
        <w:pStyle w:val="Prrafodelista"/>
        <w:ind w:left="0" w:firstLine="0"/>
        <w:jc w:val="both"/>
        <w:rPr>
          <w:rFonts w:ascii="Garamond" w:hAnsi="Garamond" w:cs="Arial"/>
          <w:iCs/>
          <w:color w:val="000000" w:themeColor="text1"/>
        </w:rPr>
      </w:pPr>
      <w:r w:rsidRPr="000113B8">
        <w:rPr>
          <w:rFonts w:ascii="Garamond" w:hAnsi="Garamond" w:cs="Arial"/>
          <w:iCs/>
          <w:color w:val="000000" w:themeColor="text1"/>
        </w:rPr>
        <w:t>Consecuente con lo anterior, el presupuesto establecido para la contratación corresponde al que se indica a continuación:</w:t>
      </w:r>
    </w:p>
    <w:p w14:paraId="461C5A5E" w14:textId="77777777" w:rsidR="003E7F6B" w:rsidRPr="000113B8" w:rsidRDefault="003E7F6B" w:rsidP="003E7F6B">
      <w:pPr>
        <w:pStyle w:val="Prrafodelista"/>
        <w:ind w:left="0"/>
        <w:rPr>
          <w:rFonts w:ascii="Garamond" w:hAnsi="Garamond" w:cs="Arial"/>
          <w:iCs/>
          <w:color w:val="000000" w:themeColor="text1"/>
        </w:rPr>
      </w:pPr>
    </w:p>
    <w:p w14:paraId="36B5E903" w14:textId="77777777" w:rsidR="003E7F6B" w:rsidRPr="000113B8" w:rsidRDefault="003E7F6B" w:rsidP="003E7F6B">
      <w:pPr>
        <w:jc w:val="both"/>
        <w:rPr>
          <w:rFonts w:ascii="Garamond" w:hAnsi="Garamond" w:cs="Arial"/>
          <w:iCs/>
          <w:color w:val="000000" w:themeColor="text1"/>
        </w:rPr>
      </w:pPr>
      <w:r w:rsidRPr="000113B8">
        <w:rPr>
          <w:rFonts w:ascii="Garamond" w:hAnsi="Garamond"/>
          <w:noProof/>
          <w:color w:val="000000" w:themeColor="text1"/>
        </w:rPr>
        <w:drawing>
          <wp:inline distT="0" distB="0" distL="0" distR="0" wp14:anchorId="36DC1CE2" wp14:editId="354CC84B">
            <wp:extent cx="5971540" cy="1533525"/>
            <wp:effectExtent l="38100" t="38100" r="29210" b="47625"/>
            <wp:docPr id="1908080616"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971540" cy="1533525"/>
                    </a:xfrm>
                    <a:prstGeom prst="rect">
                      <a:avLst/>
                    </a:prstGeom>
                    <a:noFill/>
                    <a:ln w="38100">
                      <a:solidFill>
                        <a:schemeClr val="tx1"/>
                      </a:solidFill>
                    </a:ln>
                  </pic:spPr>
                </pic:pic>
              </a:graphicData>
            </a:graphic>
          </wp:inline>
        </w:drawing>
      </w:r>
    </w:p>
    <w:p w14:paraId="7BB8D740" w14:textId="77777777" w:rsidR="003E7F6B" w:rsidRPr="000113B8" w:rsidRDefault="003E7F6B" w:rsidP="003E7F6B">
      <w:pPr>
        <w:jc w:val="center"/>
        <w:rPr>
          <w:rFonts w:ascii="Garamond" w:eastAsia="Arial Narrow" w:hAnsi="Garamond" w:cs="Arial"/>
          <w:color w:val="000000" w:themeColor="text1"/>
        </w:rPr>
      </w:pPr>
      <w:r w:rsidRPr="000113B8">
        <w:rPr>
          <w:rFonts w:ascii="Garamond" w:eastAsia="Arial Narrow" w:hAnsi="Garamond" w:cs="Arial"/>
          <w:color w:val="000000" w:themeColor="text1"/>
        </w:rPr>
        <w:t>Fuente: Anexo No. 2 Estudio de mercado</w:t>
      </w:r>
    </w:p>
    <w:p w14:paraId="7D26B72B" w14:textId="77777777" w:rsidR="003E7F6B" w:rsidRPr="000113B8" w:rsidRDefault="003E7F6B" w:rsidP="003E7F6B">
      <w:pPr>
        <w:jc w:val="center"/>
        <w:rPr>
          <w:rFonts w:ascii="Garamond" w:eastAsia="Arial Narrow" w:hAnsi="Garamond" w:cs="Arial"/>
          <w:color w:val="000000" w:themeColor="text1"/>
        </w:rPr>
      </w:pPr>
    </w:p>
    <w:p w14:paraId="7226F26B" w14:textId="12B56766" w:rsidR="00D55AEB" w:rsidRPr="000113B8" w:rsidRDefault="003E7F6B" w:rsidP="003E7F6B">
      <w:pPr>
        <w:jc w:val="both"/>
        <w:rPr>
          <w:rFonts w:ascii="Garamond" w:hAnsi="Garamond" w:cs="Arial"/>
          <w:bCs/>
          <w:color w:val="000000" w:themeColor="text1"/>
        </w:rPr>
      </w:pPr>
      <w:r w:rsidRPr="000113B8">
        <w:rPr>
          <w:rFonts w:ascii="Garamond" w:hAnsi="Garamond" w:cs="Arial"/>
          <w:color w:val="000000" w:themeColor="text1"/>
        </w:rPr>
        <w:t xml:space="preserve">Así las cosas, el resultado del estudio de mercado permite concluir que, para el presente proceso de selección, se estima un presupuesto de hasta: </w:t>
      </w:r>
      <w:r w:rsidRPr="000113B8">
        <w:rPr>
          <w:rFonts w:ascii="Garamond" w:hAnsi="Garamond" w:cs="Arial"/>
          <w:b/>
          <w:color w:val="000000" w:themeColor="text1"/>
        </w:rPr>
        <w:t>CATORCE MILLONES QUINIENTOS TRES MIL SEISCIENTOS SETENTA PESOS ($14.503.670) M/CTE</w:t>
      </w:r>
      <w:r w:rsidRPr="000113B8">
        <w:rPr>
          <w:rFonts w:ascii="Garamond" w:hAnsi="Garamond" w:cs="Arial"/>
          <w:color w:val="000000" w:themeColor="text1"/>
        </w:rPr>
        <w:t xml:space="preserve"> </w:t>
      </w:r>
      <w:bookmarkStart w:id="27" w:name="_Hlk180705774"/>
      <w:r w:rsidRPr="000113B8">
        <w:rPr>
          <w:rFonts w:ascii="Garamond" w:hAnsi="Garamond" w:cs="Arial"/>
          <w:bCs/>
          <w:color w:val="000000" w:themeColor="text1"/>
        </w:rPr>
        <w:t>incluidos todos los costos directos e indirectos, impuestos nacionales y/o distritales a que haya lugar para la ejecución del objeto contractual del presente proceso</w:t>
      </w:r>
      <w:bookmarkEnd w:id="27"/>
      <w:r w:rsidRPr="000113B8">
        <w:rPr>
          <w:rFonts w:ascii="Garamond" w:hAnsi="Garamond" w:cs="Arial"/>
          <w:bCs/>
          <w:color w:val="000000" w:themeColor="text1"/>
        </w:rPr>
        <w:t>.</w:t>
      </w:r>
    </w:p>
    <w:p w14:paraId="2DE9E175" w14:textId="77777777" w:rsidR="006D367F" w:rsidRPr="000113B8" w:rsidRDefault="006D367F" w:rsidP="003E7F6B">
      <w:pPr>
        <w:jc w:val="both"/>
        <w:rPr>
          <w:rFonts w:ascii="Garamond" w:hAnsi="Garamond" w:cs="Arial"/>
          <w:bCs/>
          <w:color w:val="000000" w:themeColor="text1"/>
        </w:rPr>
      </w:pPr>
    </w:p>
    <w:p w14:paraId="5C12C6A1" w14:textId="1C479702" w:rsidR="006D367F" w:rsidRPr="000113B8" w:rsidRDefault="006D367F" w:rsidP="00C54B99">
      <w:pPr>
        <w:pStyle w:val="Prrafodelista"/>
        <w:numPr>
          <w:ilvl w:val="0"/>
          <w:numId w:val="24"/>
        </w:numPr>
        <w:rPr>
          <w:rFonts w:ascii="Garamond" w:hAnsi="Garamond"/>
          <w:b/>
          <w:color w:val="000000" w:themeColor="text1"/>
        </w:rPr>
      </w:pPr>
      <w:hyperlink r:id="rId66" w:anchor="m_-8097141901043383030__Toc523298637" w:history="1">
        <w:bookmarkStart w:id="28" w:name="_Toc14162608"/>
        <w:bookmarkStart w:id="29" w:name="_Toc41048569"/>
        <w:r w:rsidRPr="000113B8">
          <w:rPr>
            <w:rFonts w:ascii="Garamond" w:hAnsi="Garamond"/>
            <w:b/>
            <w:color w:val="000000" w:themeColor="text1"/>
          </w:rPr>
          <w:t>CONTEXTO INTERNACIONAL.</w:t>
        </w:r>
      </w:hyperlink>
      <w:r w:rsidRPr="000113B8">
        <w:rPr>
          <w:rFonts w:ascii="Garamond" w:hAnsi="Garamond"/>
          <w:b/>
          <w:color w:val="000000" w:themeColor="text1"/>
        </w:rPr>
        <w:t xml:space="preserve"> ACUERDOS COMERCIALES</w:t>
      </w:r>
      <w:bookmarkEnd w:id="28"/>
      <w:bookmarkEnd w:id="29"/>
    </w:p>
    <w:p w14:paraId="575AEC4C" w14:textId="77777777" w:rsidR="006D367F" w:rsidRPr="000113B8" w:rsidRDefault="006D367F" w:rsidP="006D367F">
      <w:pPr>
        <w:rPr>
          <w:rFonts w:ascii="Garamond" w:hAnsi="Garamond"/>
          <w:color w:val="000000" w:themeColor="text1"/>
        </w:rPr>
      </w:pPr>
    </w:p>
    <w:p w14:paraId="56280955" w14:textId="77777777" w:rsidR="006D367F" w:rsidRPr="000113B8" w:rsidRDefault="006D367F" w:rsidP="006D367F">
      <w:pPr>
        <w:ind w:right="49"/>
        <w:jc w:val="both"/>
        <w:rPr>
          <w:rFonts w:ascii="Garamond" w:hAnsi="Garamond" w:cs="Arial"/>
          <w:bCs/>
          <w:color w:val="000000" w:themeColor="text1"/>
        </w:rPr>
      </w:pPr>
      <w:bookmarkStart w:id="30" w:name="_Hlk209686693"/>
      <w:r w:rsidRPr="000113B8">
        <w:rPr>
          <w:rFonts w:ascii="Garamond" w:hAnsi="Garamond" w:cs="Arial"/>
          <w:bCs/>
          <w:color w:val="000000" w:themeColor="text1"/>
        </w:rPr>
        <w:t xml:space="preserve">Atendiendo las disposiciones de la Sección 4, Subsección 1 del Decreto 1082 de 2015, y para dar cumplimiento a lo establecido en el artículo 2.2.1.2.4.1.1 y siguientes del Decreto 1082 de 2015, se hace constar que el </w:t>
      </w:r>
      <w:r w:rsidRPr="000113B8">
        <w:rPr>
          <w:rFonts w:ascii="Garamond" w:hAnsi="Garamond" w:cs="Arial"/>
          <w:b/>
          <w:color w:val="000000" w:themeColor="text1"/>
        </w:rPr>
        <w:t xml:space="preserve">Fondo de Desarrollo Rural de Sumapaz </w:t>
      </w:r>
      <w:r w:rsidRPr="000113B8">
        <w:rPr>
          <w:rFonts w:ascii="Garamond" w:hAnsi="Garamond" w:cs="Arial"/>
          <w:bCs/>
          <w:color w:val="000000" w:themeColor="text1"/>
        </w:rPr>
        <w:t>realizó la revisión documental en la plataforma web del Ministerio de Comercio, Industria y Turismo, y de la Agencia Nacional de Contratación Pública – Colombia Compra Eficiente, referente a las pautas para determinar si la presente contratación se encuentra cubierta por algún acuerdo comercial vigente.</w:t>
      </w:r>
    </w:p>
    <w:p w14:paraId="58FAE708" w14:textId="77777777" w:rsidR="006D367F" w:rsidRPr="000113B8" w:rsidRDefault="006D367F" w:rsidP="006D367F">
      <w:pPr>
        <w:ind w:right="49"/>
        <w:jc w:val="both"/>
        <w:rPr>
          <w:rFonts w:ascii="Garamond" w:hAnsi="Garamond" w:cs="Arial"/>
          <w:bCs/>
          <w:color w:val="000000" w:themeColor="text1"/>
        </w:rPr>
      </w:pPr>
    </w:p>
    <w:p w14:paraId="2C7DFFFD" w14:textId="77777777" w:rsidR="006D367F" w:rsidRPr="000113B8" w:rsidRDefault="006D367F" w:rsidP="006D367F">
      <w:pPr>
        <w:overflowPunct w:val="0"/>
        <w:jc w:val="both"/>
        <w:rPr>
          <w:rFonts w:ascii="Garamond" w:hAnsi="Garamond" w:cs="Arial"/>
          <w:bCs/>
          <w:color w:val="000000" w:themeColor="text1"/>
        </w:rPr>
      </w:pPr>
      <w:r w:rsidRPr="000113B8">
        <w:rPr>
          <w:rFonts w:ascii="Garamond" w:hAnsi="Garamond" w:cs="Arial"/>
          <w:bCs/>
          <w:color w:val="000000" w:themeColor="text1"/>
        </w:rPr>
        <w:t>Realizada la revisión, se encuentra que de conformidad con el numeral 1.2. del Manual Explicativo V. 15 de Mayo de 2012, expedido por el Departamento Nacional de Planeación y el Ministerio de Industria y Comercio, que “Para que una determinada contratación pública esté cubierta bajo las obligaciones internacionales es necesario que (i) la entidad pública que realice la contratación se encuentre en los listados de entidades cubiertas, (</w:t>
      </w:r>
      <w:proofErr w:type="spellStart"/>
      <w:r w:rsidRPr="000113B8">
        <w:rPr>
          <w:rFonts w:ascii="Garamond" w:hAnsi="Garamond" w:cs="Arial"/>
          <w:bCs/>
          <w:color w:val="000000" w:themeColor="text1"/>
        </w:rPr>
        <w:t>ii</w:t>
      </w:r>
      <w:proofErr w:type="spellEnd"/>
      <w:r w:rsidRPr="000113B8">
        <w:rPr>
          <w:rFonts w:ascii="Garamond" w:hAnsi="Garamond" w:cs="Arial"/>
          <w:bCs/>
          <w:color w:val="000000" w:themeColor="text1"/>
        </w:rPr>
        <w:t>) que se superen los montos mínimos para que las normas de contratación pública del capítulo sean aplicables (los “Umbrales”), y (</w:t>
      </w:r>
      <w:proofErr w:type="spellStart"/>
      <w:r w:rsidRPr="000113B8">
        <w:rPr>
          <w:rFonts w:ascii="Garamond" w:hAnsi="Garamond" w:cs="Arial"/>
          <w:bCs/>
          <w:color w:val="000000" w:themeColor="text1"/>
        </w:rPr>
        <w:t>iii</w:t>
      </w:r>
      <w:proofErr w:type="spellEnd"/>
      <w:r w:rsidRPr="000113B8">
        <w:rPr>
          <w:rFonts w:ascii="Garamond" w:hAnsi="Garamond" w:cs="Arial"/>
          <w:bCs/>
          <w:color w:val="000000" w:themeColor="text1"/>
        </w:rPr>
        <w:t>) que la contratación no se encuentre cubierta bajo alguna exclusión de aplicabilidad o excepción.” Igualmente, se hizo la revisión y el análisis según las indicaciones realizadas en el Manual para el manejo de los acuerdos comerciales en Procesos de Contratación expedido por La Agencia Nacional de Contratación Pública – Colombia Compra Eficiente versión 1.0.</w:t>
      </w:r>
    </w:p>
    <w:p w14:paraId="78D25DD4" w14:textId="77777777" w:rsidR="006D367F" w:rsidRPr="000113B8" w:rsidRDefault="006D367F" w:rsidP="006D367F">
      <w:pPr>
        <w:overflowPunct w:val="0"/>
        <w:jc w:val="both"/>
        <w:rPr>
          <w:rFonts w:ascii="Garamond" w:hAnsi="Garamond" w:cs="Arial"/>
          <w:color w:val="000000" w:themeColor="text1"/>
        </w:rPr>
      </w:pPr>
    </w:p>
    <w:p w14:paraId="396694D0" w14:textId="77777777" w:rsidR="006D367F" w:rsidRPr="000113B8" w:rsidRDefault="006D367F" w:rsidP="006D367F">
      <w:pPr>
        <w:overflowPunct w:val="0"/>
        <w:jc w:val="both"/>
        <w:rPr>
          <w:rFonts w:ascii="Garamond" w:hAnsi="Garamond" w:cs="Arial"/>
          <w:bCs/>
          <w:color w:val="000000" w:themeColor="text1"/>
        </w:rPr>
      </w:pPr>
      <w:r w:rsidRPr="000113B8">
        <w:rPr>
          <w:rFonts w:ascii="Garamond" w:hAnsi="Garamond" w:cs="Arial"/>
          <w:color w:val="000000" w:themeColor="text1"/>
        </w:rPr>
        <w:t xml:space="preserve">En ese sentido, es necesario aclarar que al presente proceso no le aplican los tratados internacionales, teniendo </w:t>
      </w:r>
      <w:r w:rsidRPr="000113B8">
        <w:rPr>
          <w:rFonts w:ascii="Garamond" w:hAnsi="Garamond" w:cs="Arial"/>
          <w:color w:val="000000" w:themeColor="text1"/>
        </w:rPr>
        <w:lastRenderedPageBreak/>
        <w:t xml:space="preserve">en cuenta que, conforme a lo dispuesto por el Estatuto Orgánico del Sistema Financiero, los seguros deben ser contratados con compañías de seguros debidamente autorizadas por la Superintendencia Financiera de Colombia-SFC, </w:t>
      </w:r>
      <w:r w:rsidRPr="000113B8">
        <w:rPr>
          <w:rFonts w:ascii="Garamond" w:hAnsi="Garamond" w:cs="Arial"/>
          <w:bCs/>
          <w:color w:val="000000" w:themeColor="text1"/>
        </w:rPr>
        <w:t>tal y como lo establece el Decreto 663 de 1993, el cual en su momento actualizó el Estatuto Orgánico del Sistema Financiero, y establece en el artículo 39 lo siguiente:</w:t>
      </w:r>
    </w:p>
    <w:p w14:paraId="2F67C0B6" w14:textId="77777777" w:rsidR="006D367F" w:rsidRPr="000113B8" w:rsidRDefault="006D367F" w:rsidP="006D367F">
      <w:pPr>
        <w:overflowPunct w:val="0"/>
        <w:jc w:val="both"/>
        <w:rPr>
          <w:rFonts w:ascii="Garamond" w:hAnsi="Garamond" w:cs="Arial"/>
          <w:color w:val="000000" w:themeColor="text1"/>
        </w:rPr>
      </w:pPr>
    </w:p>
    <w:p w14:paraId="3A58D518" w14:textId="77777777" w:rsidR="006D367F" w:rsidRPr="000113B8" w:rsidRDefault="006D367F" w:rsidP="006D367F">
      <w:pPr>
        <w:ind w:left="462" w:right="49"/>
        <w:jc w:val="both"/>
        <w:rPr>
          <w:rFonts w:ascii="Garamond" w:hAnsi="Garamond" w:cs="Arial"/>
          <w:b/>
          <w:color w:val="000000" w:themeColor="text1"/>
        </w:rPr>
      </w:pPr>
      <w:r w:rsidRPr="000113B8">
        <w:rPr>
          <w:rFonts w:ascii="Garamond" w:hAnsi="Garamond" w:cs="Arial"/>
          <w:b/>
          <w:i/>
          <w:iCs/>
          <w:color w:val="000000" w:themeColor="text1"/>
        </w:rPr>
        <w:t>“TITULO VII.</w:t>
      </w:r>
    </w:p>
    <w:p w14:paraId="7CF3BE6D" w14:textId="77777777" w:rsidR="006D367F" w:rsidRPr="000113B8" w:rsidRDefault="006D367F" w:rsidP="006D367F">
      <w:pPr>
        <w:spacing w:before="2"/>
        <w:ind w:left="462" w:right="49"/>
        <w:jc w:val="both"/>
        <w:rPr>
          <w:rFonts w:ascii="Garamond" w:hAnsi="Garamond" w:cs="Arial"/>
          <w:b/>
          <w:color w:val="000000" w:themeColor="text1"/>
        </w:rPr>
      </w:pPr>
      <w:r w:rsidRPr="000113B8">
        <w:rPr>
          <w:rFonts w:ascii="Garamond" w:hAnsi="Garamond" w:cs="Arial"/>
          <w:b/>
          <w:i/>
          <w:iCs/>
          <w:color w:val="000000" w:themeColor="text1"/>
        </w:rPr>
        <w:t>DE LA LIBERALIZACIÓN COMERCIAL EN MATERIA DE SERVICIOS FINANCIEROS.</w:t>
      </w:r>
    </w:p>
    <w:p w14:paraId="2DDD4B18" w14:textId="77777777" w:rsidR="006D367F" w:rsidRPr="000113B8" w:rsidRDefault="006D367F" w:rsidP="006D367F">
      <w:pPr>
        <w:spacing w:before="1"/>
        <w:ind w:left="462" w:right="49"/>
        <w:jc w:val="both"/>
        <w:rPr>
          <w:rFonts w:ascii="Garamond" w:hAnsi="Garamond" w:cs="Arial"/>
          <w:b/>
          <w:i/>
          <w:iCs/>
          <w:color w:val="000000" w:themeColor="text1"/>
        </w:rPr>
      </w:pPr>
      <w:r w:rsidRPr="000113B8">
        <w:rPr>
          <w:rFonts w:ascii="Garamond" w:hAnsi="Garamond" w:cs="Arial"/>
          <w:b/>
          <w:i/>
          <w:iCs/>
          <w:color w:val="000000" w:themeColor="text1"/>
        </w:rPr>
        <w:t>ARTÍCULO 61. COMERCIO TRANSFRONTERIZO DE SEGUROS.</w:t>
      </w:r>
    </w:p>
    <w:p w14:paraId="1D9695FD" w14:textId="77777777" w:rsidR="006D367F" w:rsidRPr="000113B8" w:rsidRDefault="006D367F" w:rsidP="006D367F">
      <w:pPr>
        <w:spacing w:before="1"/>
        <w:ind w:left="462" w:right="49"/>
        <w:jc w:val="both"/>
        <w:rPr>
          <w:rFonts w:ascii="Garamond" w:hAnsi="Garamond" w:cs="Arial"/>
          <w:b/>
          <w:color w:val="000000" w:themeColor="text1"/>
        </w:rPr>
      </w:pPr>
    </w:p>
    <w:p w14:paraId="3504BC37" w14:textId="77777777" w:rsidR="006D367F" w:rsidRPr="000113B8" w:rsidRDefault="006D367F" w:rsidP="006D367F">
      <w:pPr>
        <w:spacing w:before="1"/>
        <w:ind w:left="462" w:right="49"/>
        <w:jc w:val="both"/>
        <w:rPr>
          <w:rFonts w:ascii="Garamond" w:hAnsi="Garamond" w:cs="Arial"/>
          <w:bCs/>
          <w:i/>
          <w:iCs/>
          <w:color w:val="000000" w:themeColor="text1"/>
        </w:rPr>
      </w:pPr>
      <w:r w:rsidRPr="000113B8">
        <w:rPr>
          <w:rFonts w:ascii="Garamond" w:hAnsi="Garamond" w:cs="Arial"/>
          <w:bCs/>
          <w:i/>
          <w:iCs/>
          <w:color w:val="000000" w:themeColor="text1"/>
        </w:rPr>
        <w:t>Modificase el artículo 39 del Estatuto Orgánico del Sistema Financiero, el cual quedará así:</w:t>
      </w:r>
    </w:p>
    <w:p w14:paraId="11B55164" w14:textId="77777777" w:rsidR="006D367F" w:rsidRPr="000113B8" w:rsidRDefault="006D367F" w:rsidP="006D367F">
      <w:pPr>
        <w:spacing w:before="1"/>
        <w:ind w:left="462" w:right="49"/>
        <w:jc w:val="both"/>
        <w:rPr>
          <w:rFonts w:ascii="Garamond" w:hAnsi="Garamond" w:cs="Arial"/>
          <w:bCs/>
          <w:color w:val="000000" w:themeColor="text1"/>
        </w:rPr>
      </w:pPr>
    </w:p>
    <w:p w14:paraId="740020C6" w14:textId="77777777" w:rsidR="006D367F" w:rsidRPr="000113B8" w:rsidRDefault="006D367F" w:rsidP="006D367F">
      <w:pPr>
        <w:ind w:left="462" w:right="49"/>
        <w:jc w:val="both"/>
        <w:rPr>
          <w:rFonts w:ascii="Garamond" w:hAnsi="Garamond" w:cs="Arial"/>
          <w:bCs/>
          <w:i/>
          <w:iCs/>
          <w:color w:val="000000" w:themeColor="text1"/>
        </w:rPr>
      </w:pPr>
      <w:r w:rsidRPr="000113B8">
        <w:rPr>
          <w:rFonts w:ascii="Garamond" w:hAnsi="Garamond" w:cs="Arial"/>
          <w:b/>
          <w:i/>
          <w:iCs/>
          <w:color w:val="000000" w:themeColor="text1"/>
        </w:rPr>
        <w:t xml:space="preserve">Artículo </w:t>
      </w:r>
      <w:hyperlink r:id="rId67" w:anchor="39" w:history="1">
        <w:r w:rsidRPr="000113B8">
          <w:rPr>
            <w:rFonts w:ascii="Garamond" w:hAnsi="Garamond" w:cs="Arial"/>
            <w:b/>
            <w:i/>
            <w:iCs/>
            <w:color w:val="000000" w:themeColor="text1"/>
          </w:rPr>
          <w:t>39</w:t>
        </w:r>
      </w:hyperlink>
      <w:r w:rsidRPr="000113B8">
        <w:rPr>
          <w:rFonts w:ascii="Garamond" w:hAnsi="Garamond" w:cs="Arial"/>
          <w:b/>
          <w:i/>
          <w:iCs/>
          <w:color w:val="000000" w:themeColor="text1"/>
        </w:rPr>
        <w:t>. Personas no autorizadas.</w:t>
      </w:r>
      <w:r w:rsidRPr="000113B8">
        <w:rPr>
          <w:rFonts w:ascii="Garamond" w:hAnsi="Garamond" w:cs="Arial"/>
          <w:bCs/>
          <w:i/>
          <w:iCs/>
          <w:color w:val="000000" w:themeColor="text1"/>
        </w:rPr>
        <w:t xml:space="preserve"> Salvo lo previsto en los parágrafos del presente artículo, queda prohibido celebrar en el territorio nacional operaciones de seguros con entidades extranjeras no autorizadas para desarrollar la actividad aseguradora en Colombia o hacerlo con agentes o representantes que trabajen para las mismas. Las personas naturales o jurídicas que contravengan lo dispuesto en el presente artículo quedarán sujetas a las sanciones previstas en el artículo </w:t>
      </w:r>
      <w:r w:rsidRPr="000113B8">
        <w:rPr>
          <w:rFonts w:ascii="Garamond" w:hAnsi="Garamond" w:cs="Arial"/>
          <w:color w:val="000000" w:themeColor="text1"/>
        </w:rPr>
        <w:t xml:space="preserve">208 </w:t>
      </w:r>
      <w:r w:rsidRPr="000113B8">
        <w:rPr>
          <w:rFonts w:ascii="Garamond" w:hAnsi="Garamond" w:cs="Arial"/>
          <w:bCs/>
          <w:i/>
          <w:iCs/>
          <w:color w:val="000000" w:themeColor="text1"/>
        </w:rPr>
        <w:t>del presente Estatuto.</w:t>
      </w:r>
    </w:p>
    <w:p w14:paraId="43F635A7" w14:textId="77777777" w:rsidR="006D367F" w:rsidRPr="000113B8" w:rsidRDefault="006D367F" w:rsidP="006D367F">
      <w:pPr>
        <w:ind w:left="462" w:right="49"/>
        <w:jc w:val="both"/>
        <w:rPr>
          <w:rFonts w:ascii="Garamond" w:hAnsi="Garamond" w:cs="Arial"/>
          <w:bCs/>
          <w:color w:val="000000" w:themeColor="text1"/>
        </w:rPr>
      </w:pPr>
    </w:p>
    <w:p w14:paraId="57752CE5" w14:textId="77777777" w:rsidR="006D367F" w:rsidRPr="000113B8" w:rsidRDefault="006D367F" w:rsidP="006D367F">
      <w:pPr>
        <w:ind w:left="462" w:right="49"/>
        <w:jc w:val="both"/>
        <w:rPr>
          <w:rFonts w:ascii="Garamond" w:hAnsi="Garamond" w:cs="Arial"/>
          <w:bCs/>
          <w:i/>
          <w:iCs/>
          <w:color w:val="000000" w:themeColor="text1"/>
        </w:rPr>
      </w:pPr>
      <w:r w:rsidRPr="000113B8">
        <w:rPr>
          <w:rFonts w:ascii="Garamond" w:hAnsi="Garamond" w:cs="Arial"/>
          <w:b/>
          <w:i/>
          <w:iCs/>
          <w:color w:val="000000" w:themeColor="text1"/>
        </w:rPr>
        <w:t>PARÁGRAFO 1o.</w:t>
      </w:r>
      <w:r w:rsidRPr="000113B8">
        <w:rPr>
          <w:rFonts w:ascii="Garamond" w:hAnsi="Garamond" w:cs="Arial"/>
          <w:bCs/>
          <w:i/>
          <w:iCs/>
          <w:color w:val="000000" w:themeColor="text1"/>
        </w:rPr>
        <w:t xml:space="preserve"> Las compañías de seguros del exterior podrán ofrecer en el territorio colombiano o a sus residentes, única y exclusivamente, seguros asociados al transporte marítimo internacional, la aviación comercial internacional y el lanzamiento y transporte espacial (incluyendo satélites), que amparen los riesgos vinculados a las mercancías objeto de transporte, el vehículo que transporte las mercancías y la responsabilidad civil que pueda derivarse de los mismos, así como seguros que amparen mercancías en tránsito internacional.</w:t>
      </w:r>
    </w:p>
    <w:p w14:paraId="4548363E" w14:textId="77777777" w:rsidR="006D367F" w:rsidRPr="000113B8" w:rsidRDefault="006D367F" w:rsidP="006D367F">
      <w:pPr>
        <w:ind w:left="462" w:right="49"/>
        <w:jc w:val="both"/>
        <w:rPr>
          <w:rFonts w:ascii="Garamond" w:hAnsi="Garamond" w:cs="Arial"/>
          <w:bCs/>
          <w:color w:val="000000" w:themeColor="text1"/>
        </w:rPr>
      </w:pPr>
    </w:p>
    <w:p w14:paraId="7E55B552" w14:textId="77777777" w:rsidR="006D367F" w:rsidRPr="000113B8" w:rsidRDefault="006D367F" w:rsidP="006D367F">
      <w:pPr>
        <w:spacing w:before="1"/>
        <w:ind w:left="462" w:right="49"/>
        <w:jc w:val="both"/>
        <w:rPr>
          <w:rFonts w:ascii="Garamond" w:hAnsi="Garamond" w:cs="Arial"/>
          <w:bCs/>
          <w:i/>
          <w:iCs/>
          <w:color w:val="000000" w:themeColor="text1"/>
        </w:rPr>
      </w:pPr>
      <w:r w:rsidRPr="000113B8">
        <w:rPr>
          <w:rFonts w:ascii="Garamond" w:hAnsi="Garamond" w:cs="Arial"/>
          <w:bCs/>
          <w:i/>
          <w:iCs/>
          <w:color w:val="000000" w:themeColor="text1"/>
        </w:rPr>
        <w:t>La Superintendencia Financiera de Colombia podrá establecer la obligatoriedad del registro de las compañías de seguros del exterior que pretendan ofrecer estos seguros en el territorio nacional o a sus residentes.</w:t>
      </w:r>
    </w:p>
    <w:p w14:paraId="391A11F6" w14:textId="77777777" w:rsidR="006D367F" w:rsidRPr="000113B8" w:rsidRDefault="006D367F" w:rsidP="006D367F">
      <w:pPr>
        <w:spacing w:before="1"/>
        <w:ind w:left="462" w:right="49"/>
        <w:jc w:val="both"/>
        <w:rPr>
          <w:rFonts w:ascii="Garamond" w:hAnsi="Garamond" w:cs="Arial"/>
          <w:bCs/>
          <w:color w:val="000000" w:themeColor="text1"/>
        </w:rPr>
      </w:pPr>
    </w:p>
    <w:p w14:paraId="382FD7EB" w14:textId="77777777" w:rsidR="006D367F" w:rsidRPr="000113B8" w:rsidRDefault="006D367F" w:rsidP="006D367F">
      <w:pPr>
        <w:ind w:left="462" w:right="49"/>
        <w:jc w:val="both"/>
        <w:rPr>
          <w:rFonts w:ascii="Garamond" w:hAnsi="Garamond" w:cs="Arial"/>
          <w:bCs/>
          <w:i/>
          <w:iCs/>
          <w:color w:val="000000" w:themeColor="text1"/>
        </w:rPr>
      </w:pPr>
      <w:r w:rsidRPr="000113B8">
        <w:rPr>
          <w:rFonts w:ascii="Garamond" w:hAnsi="Garamond" w:cs="Arial"/>
          <w:bCs/>
          <w:i/>
          <w:iCs/>
          <w:color w:val="000000" w:themeColor="text1"/>
        </w:rPr>
        <w:t>Salvo lo previsto en el presente parágrafo, las compañías de seguros del exterior no podrán ofrecer, promocionar o hacer publicidad de sus servicios en el territorio colombiano o a sus residentes.</w:t>
      </w:r>
    </w:p>
    <w:p w14:paraId="1E7B2C23" w14:textId="77777777" w:rsidR="006D367F" w:rsidRPr="000113B8" w:rsidRDefault="006D367F" w:rsidP="006D367F">
      <w:pPr>
        <w:ind w:left="462" w:right="49"/>
        <w:jc w:val="both"/>
        <w:rPr>
          <w:rFonts w:ascii="Garamond" w:hAnsi="Garamond" w:cs="Arial"/>
          <w:bCs/>
          <w:color w:val="000000" w:themeColor="text1"/>
        </w:rPr>
      </w:pPr>
    </w:p>
    <w:p w14:paraId="7659056A" w14:textId="77777777" w:rsidR="006D367F" w:rsidRPr="000113B8" w:rsidRDefault="006D367F" w:rsidP="006D367F">
      <w:pPr>
        <w:spacing w:before="1"/>
        <w:ind w:left="462" w:right="49"/>
        <w:jc w:val="both"/>
        <w:rPr>
          <w:rFonts w:ascii="Garamond" w:hAnsi="Garamond" w:cs="Arial"/>
          <w:bCs/>
          <w:i/>
          <w:iCs/>
          <w:color w:val="000000" w:themeColor="text1"/>
        </w:rPr>
      </w:pPr>
      <w:r w:rsidRPr="000113B8">
        <w:rPr>
          <w:rFonts w:ascii="Garamond" w:hAnsi="Garamond" w:cs="Arial"/>
          <w:b/>
          <w:i/>
          <w:iCs/>
          <w:color w:val="000000" w:themeColor="text1"/>
        </w:rPr>
        <w:t>PARÁGRAFO 2o.</w:t>
      </w:r>
      <w:r w:rsidRPr="000113B8">
        <w:rPr>
          <w:rFonts w:ascii="Garamond" w:hAnsi="Garamond" w:cs="Arial"/>
          <w:bCs/>
          <w:i/>
          <w:iCs/>
          <w:color w:val="000000" w:themeColor="text1"/>
        </w:rPr>
        <w:t xml:space="preserve"> Toda persona natural o jurídica, residente en el país, podrá adquirir en el exterior cualquier tipo de seguro, con excepción de los siguientes:</w:t>
      </w:r>
    </w:p>
    <w:p w14:paraId="5031B762" w14:textId="77777777" w:rsidR="006D367F" w:rsidRPr="000113B8" w:rsidRDefault="006D367F" w:rsidP="006D367F">
      <w:pPr>
        <w:spacing w:before="1"/>
        <w:ind w:left="462" w:right="49"/>
        <w:jc w:val="both"/>
        <w:rPr>
          <w:rFonts w:ascii="Garamond" w:hAnsi="Garamond" w:cs="Arial"/>
          <w:bCs/>
          <w:color w:val="000000" w:themeColor="text1"/>
        </w:rPr>
      </w:pPr>
    </w:p>
    <w:p w14:paraId="1E54F874" w14:textId="77777777" w:rsidR="006D367F" w:rsidRPr="000113B8" w:rsidRDefault="006D367F" w:rsidP="006D367F">
      <w:pPr>
        <w:ind w:left="851" w:right="49" w:hanging="284"/>
        <w:jc w:val="both"/>
        <w:rPr>
          <w:rFonts w:ascii="Garamond" w:hAnsi="Garamond" w:cs="Arial"/>
          <w:bCs/>
          <w:color w:val="000000" w:themeColor="text1"/>
        </w:rPr>
      </w:pPr>
      <w:r w:rsidRPr="000113B8">
        <w:rPr>
          <w:rFonts w:ascii="Garamond" w:hAnsi="Garamond" w:cs="Arial"/>
          <w:bCs/>
          <w:color w:val="000000" w:themeColor="text1"/>
        </w:rPr>
        <w:t xml:space="preserve">a. </w:t>
      </w:r>
      <w:r w:rsidRPr="000113B8">
        <w:rPr>
          <w:rFonts w:ascii="Garamond" w:hAnsi="Garamond" w:cs="Arial"/>
          <w:bCs/>
          <w:i/>
          <w:iCs/>
          <w:color w:val="000000" w:themeColor="text1"/>
        </w:rPr>
        <w:t>Los seguros relacionados con el sistema de seguridad social, tales como los seguros previsionales de invalidez y muerte, las rentas vitalicias o los seguros de riesgos profesionales;</w:t>
      </w:r>
    </w:p>
    <w:p w14:paraId="3CCC496A" w14:textId="77777777" w:rsidR="006D367F" w:rsidRPr="000113B8" w:rsidRDefault="006D367F" w:rsidP="006D367F">
      <w:pPr>
        <w:ind w:left="884" w:right="49" w:hanging="284"/>
        <w:jc w:val="both"/>
        <w:rPr>
          <w:rFonts w:ascii="Garamond" w:hAnsi="Garamond" w:cs="Arial"/>
          <w:bCs/>
          <w:color w:val="000000" w:themeColor="text1"/>
        </w:rPr>
      </w:pPr>
      <w:r w:rsidRPr="000113B8">
        <w:rPr>
          <w:rFonts w:ascii="Garamond" w:hAnsi="Garamond" w:cs="Arial"/>
          <w:bCs/>
          <w:color w:val="000000" w:themeColor="text1"/>
        </w:rPr>
        <w:t xml:space="preserve">b. </w:t>
      </w:r>
      <w:r w:rsidRPr="000113B8">
        <w:rPr>
          <w:rFonts w:ascii="Garamond" w:hAnsi="Garamond" w:cs="Arial"/>
          <w:bCs/>
          <w:i/>
          <w:iCs/>
          <w:color w:val="000000" w:themeColor="text1"/>
        </w:rPr>
        <w:t>Los seguros obligatorios;</w:t>
      </w:r>
    </w:p>
    <w:p w14:paraId="04294818" w14:textId="77777777" w:rsidR="006D367F" w:rsidRPr="000113B8" w:rsidRDefault="006D367F" w:rsidP="006D367F">
      <w:pPr>
        <w:ind w:left="884" w:right="49" w:hanging="284"/>
        <w:jc w:val="both"/>
        <w:rPr>
          <w:rFonts w:ascii="Garamond" w:hAnsi="Garamond" w:cs="Arial"/>
          <w:bCs/>
          <w:color w:val="000000" w:themeColor="text1"/>
        </w:rPr>
      </w:pPr>
      <w:r w:rsidRPr="000113B8">
        <w:rPr>
          <w:rFonts w:ascii="Garamond" w:hAnsi="Garamond" w:cs="Arial"/>
          <w:bCs/>
          <w:color w:val="000000" w:themeColor="text1"/>
        </w:rPr>
        <w:t>c.</w:t>
      </w:r>
      <w:r w:rsidRPr="000113B8">
        <w:rPr>
          <w:rFonts w:ascii="Garamond" w:hAnsi="Garamond" w:cs="Arial"/>
          <w:bCs/>
          <w:i/>
          <w:iCs/>
          <w:color w:val="000000" w:themeColor="text1"/>
        </w:rPr>
        <w:t xml:space="preserve"> Los seguros en los cuales el tomador, asegurado o beneficiario debe demostrar previamente a la adquisición del respectivo seguro que cuenta con un seguro obligatorio o que se encuentra al día en sus obligaciones para con la seguridad social, y</w:t>
      </w:r>
    </w:p>
    <w:p w14:paraId="3EBF795D" w14:textId="77777777" w:rsidR="006D367F" w:rsidRPr="000113B8" w:rsidRDefault="006D367F" w:rsidP="006D367F">
      <w:pPr>
        <w:ind w:left="884" w:right="49" w:hanging="284"/>
        <w:jc w:val="both"/>
        <w:rPr>
          <w:rFonts w:ascii="Garamond" w:hAnsi="Garamond" w:cs="Arial"/>
          <w:bCs/>
          <w:i/>
          <w:iCs/>
          <w:color w:val="000000" w:themeColor="text1"/>
        </w:rPr>
      </w:pPr>
      <w:r w:rsidRPr="000113B8">
        <w:rPr>
          <w:rFonts w:ascii="Garamond" w:hAnsi="Garamond" w:cs="Arial"/>
          <w:bCs/>
          <w:color w:val="000000" w:themeColor="text1"/>
        </w:rPr>
        <w:t>d.</w:t>
      </w:r>
      <w:r w:rsidRPr="000113B8">
        <w:rPr>
          <w:rFonts w:ascii="Garamond" w:hAnsi="Garamond" w:cs="Arial"/>
          <w:bCs/>
          <w:i/>
          <w:iCs/>
          <w:color w:val="000000" w:themeColor="text1"/>
        </w:rPr>
        <w:t xml:space="preserve"> Los seguros en los cuales el tomador, asegurado o beneficiario sea una entidad del Estado. No obstante, el Gobierno Nacional podrá establecer, por vía general, los eventos y las condiciones en las cuales las entidades estatales podrán contratar seguros con compañías de seguros del exterior”.</w:t>
      </w:r>
    </w:p>
    <w:p w14:paraId="529FCAE9" w14:textId="77777777" w:rsidR="006D367F" w:rsidRPr="000113B8" w:rsidRDefault="006D367F" w:rsidP="006D367F">
      <w:pPr>
        <w:ind w:left="884" w:right="49" w:hanging="284"/>
        <w:jc w:val="both"/>
        <w:rPr>
          <w:rFonts w:ascii="Garamond" w:hAnsi="Garamond" w:cs="Arial"/>
          <w:bCs/>
          <w:color w:val="000000" w:themeColor="text1"/>
        </w:rPr>
      </w:pPr>
    </w:p>
    <w:p w14:paraId="57383C96" w14:textId="77777777" w:rsidR="006D367F" w:rsidRPr="000113B8" w:rsidRDefault="006D367F" w:rsidP="006D367F">
      <w:pPr>
        <w:ind w:right="49"/>
        <w:jc w:val="both"/>
        <w:rPr>
          <w:rFonts w:ascii="Garamond" w:hAnsi="Garamond" w:cs="Arial"/>
          <w:bCs/>
          <w:color w:val="000000" w:themeColor="text1"/>
        </w:rPr>
      </w:pPr>
      <w:r w:rsidRPr="000113B8">
        <w:rPr>
          <w:rFonts w:ascii="Garamond" w:hAnsi="Garamond" w:cs="Arial"/>
          <w:bCs/>
          <w:color w:val="000000" w:themeColor="text1"/>
        </w:rPr>
        <w:t>En este orden, se puede concluir que las disposiciones previstas respecto al acceso de entidades extranjeras no autorizadas para desarrollar la actividad aseguradora en Colombia, no tiene aplicación actual en el Territorio Nacional. Por lo expuesto se tiene que:</w:t>
      </w:r>
    </w:p>
    <w:p w14:paraId="23792E92" w14:textId="77777777" w:rsidR="006D367F" w:rsidRPr="000113B8" w:rsidRDefault="006D367F" w:rsidP="006D367F">
      <w:pPr>
        <w:ind w:right="49"/>
        <w:jc w:val="both"/>
        <w:rPr>
          <w:rFonts w:ascii="Garamond" w:hAnsi="Garamond" w:cs="Arial"/>
          <w:bCs/>
          <w:color w:val="000000" w:themeColor="text1"/>
        </w:rPr>
      </w:pPr>
    </w:p>
    <w:p w14:paraId="7AFC55FA" w14:textId="77777777" w:rsidR="006D367F" w:rsidRPr="000113B8" w:rsidRDefault="006D367F" w:rsidP="00C54B99">
      <w:pPr>
        <w:pStyle w:val="Prrafodelista"/>
        <w:widowControl/>
        <w:numPr>
          <w:ilvl w:val="0"/>
          <w:numId w:val="29"/>
        </w:numPr>
        <w:autoSpaceDE/>
        <w:autoSpaceDN/>
        <w:spacing w:before="0"/>
        <w:ind w:left="1313" w:right="49" w:hanging="425"/>
        <w:contextualSpacing/>
        <w:jc w:val="both"/>
        <w:rPr>
          <w:rFonts w:ascii="Garamond" w:hAnsi="Garamond" w:cs="Arial"/>
          <w:bCs/>
          <w:color w:val="000000" w:themeColor="text1"/>
          <w:lang w:eastAsia="es-CO"/>
        </w:rPr>
      </w:pPr>
      <w:r w:rsidRPr="000113B8">
        <w:rPr>
          <w:rFonts w:ascii="Garamond" w:hAnsi="Garamond" w:cs="Arial"/>
          <w:bCs/>
          <w:color w:val="000000" w:themeColor="text1"/>
          <w:lang w:eastAsia="es-CO"/>
        </w:rPr>
        <w:t>En la Actualidad en Colombia está prohibido adquirir seguros, cuando estos son ofrecidos por aseguradoras no autorizadas para desarrollar la actividad aseguradora en Colombia (Art. 39 Decreto 663 de 1993).</w:t>
      </w:r>
    </w:p>
    <w:p w14:paraId="3D7B47D7" w14:textId="77777777" w:rsidR="006D367F" w:rsidRPr="000113B8" w:rsidRDefault="006D367F" w:rsidP="00C54B99">
      <w:pPr>
        <w:pStyle w:val="Prrafodelista"/>
        <w:widowControl/>
        <w:numPr>
          <w:ilvl w:val="0"/>
          <w:numId w:val="29"/>
        </w:numPr>
        <w:autoSpaceDE/>
        <w:autoSpaceDN/>
        <w:spacing w:before="0"/>
        <w:ind w:left="1313" w:right="49" w:hanging="425"/>
        <w:contextualSpacing/>
        <w:jc w:val="both"/>
        <w:rPr>
          <w:rFonts w:ascii="Garamond" w:hAnsi="Garamond" w:cs="Arial"/>
          <w:bCs/>
          <w:color w:val="000000" w:themeColor="text1"/>
          <w:lang w:eastAsia="es-CO"/>
        </w:rPr>
      </w:pPr>
      <w:r w:rsidRPr="000113B8">
        <w:rPr>
          <w:rFonts w:ascii="Garamond" w:hAnsi="Garamond" w:cs="Arial"/>
          <w:bCs/>
          <w:color w:val="000000" w:themeColor="text1"/>
          <w:lang w:eastAsia="es-CO"/>
        </w:rPr>
        <w:t>En virtud de lo establecido en el literal d del parágrafo 2° del Artículo 61 de la Ley 1328 de 2009, las entidades del Estado no podrán adquirir en el exterior cualquier tipo de seguro.</w:t>
      </w:r>
    </w:p>
    <w:p w14:paraId="3D7FCBDC" w14:textId="77777777" w:rsidR="006D367F" w:rsidRPr="000113B8" w:rsidRDefault="006D367F" w:rsidP="006D367F">
      <w:pPr>
        <w:ind w:left="462" w:right="49" w:firstLine="102"/>
        <w:jc w:val="both"/>
        <w:rPr>
          <w:rFonts w:ascii="Garamond" w:hAnsi="Garamond" w:cs="Arial"/>
          <w:bCs/>
          <w:color w:val="000000" w:themeColor="text1"/>
        </w:rPr>
      </w:pPr>
    </w:p>
    <w:p w14:paraId="6ABC9F12" w14:textId="77777777" w:rsidR="006D367F" w:rsidRPr="000113B8" w:rsidRDefault="006D367F" w:rsidP="006D367F">
      <w:pPr>
        <w:ind w:right="49"/>
        <w:jc w:val="both"/>
        <w:rPr>
          <w:rFonts w:ascii="Garamond" w:hAnsi="Garamond" w:cs="Arial"/>
          <w:bCs/>
          <w:color w:val="000000" w:themeColor="text1"/>
        </w:rPr>
      </w:pPr>
      <w:r w:rsidRPr="000113B8">
        <w:rPr>
          <w:rFonts w:ascii="Garamond" w:hAnsi="Garamond" w:cs="Arial"/>
          <w:bCs/>
          <w:color w:val="000000" w:themeColor="text1"/>
        </w:rPr>
        <w:lastRenderedPageBreak/>
        <w:t>De acuerdo con lo anterior, los seguros que las entidades estatales contraten deberán regirse por las normas previamente establecidas por la Superintendencia Financiera de Colombia, es decir, deberán estar contratadas con Aseguradoras autorizadas para tal efecto y en ese orden de ideas para el presente proceso no aplican tratados internacionales.</w:t>
      </w:r>
    </w:p>
    <w:p w14:paraId="612F61CF" w14:textId="77777777" w:rsidR="006D367F" w:rsidRPr="000113B8" w:rsidRDefault="006D367F" w:rsidP="006D367F">
      <w:pPr>
        <w:ind w:right="49"/>
        <w:jc w:val="both"/>
        <w:rPr>
          <w:rFonts w:ascii="Garamond" w:hAnsi="Garamond" w:cs="Arial"/>
          <w:bCs/>
          <w:color w:val="000000" w:themeColor="text1"/>
        </w:rPr>
      </w:pPr>
    </w:p>
    <w:p w14:paraId="71C82E18" w14:textId="77777777" w:rsidR="006D367F" w:rsidRPr="000113B8" w:rsidRDefault="006D367F" w:rsidP="006D367F">
      <w:pPr>
        <w:ind w:right="49"/>
        <w:jc w:val="both"/>
        <w:rPr>
          <w:rFonts w:ascii="Garamond" w:hAnsi="Garamond" w:cs="Arial"/>
          <w:bCs/>
          <w:color w:val="000000" w:themeColor="text1"/>
        </w:rPr>
      </w:pPr>
      <w:r w:rsidRPr="000113B8">
        <w:rPr>
          <w:rFonts w:ascii="Garamond" w:hAnsi="Garamond" w:cs="Arial"/>
          <w:bCs/>
          <w:color w:val="000000" w:themeColor="text1"/>
        </w:rPr>
        <w:t>Excepcionalmente, los residentes colombianos pueden tomar seguros en el exterior para sus riesgos personales cuando se encuentran temporalmente fuera del país o con autorización previa de la SFC por razones de interés público, para el caso de riesgos respecto de los bienes situados o matriculados en el país. En este sentido, las entidades del exterior no pueden promocionar productos o servicios de seguros en Colombia ni a residentes colombianos (distintos de reaseguros), y estos no pueden contratar seguros con tales entidades, so pena de que el contrato no pueda ser ejecutado en Colombia, además de las sanciones que puede imponer la Superintendencia Financiera de Colombia a los tomadores del seguro y a las entidades extranjeras que ofrezcan estos servicios sin la autorización requerida.</w:t>
      </w:r>
    </w:p>
    <w:p w14:paraId="279D3E24" w14:textId="77777777" w:rsidR="006D367F" w:rsidRPr="000113B8" w:rsidRDefault="006D367F" w:rsidP="006D367F">
      <w:pPr>
        <w:ind w:right="49"/>
        <w:jc w:val="both"/>
        <w:rPr>
          <w:rFonts w:ascii="Garamond" w:hAnsi="Garamond" w:cs="Arial"/>
          <w:bCs/>
          <w:color w:val="000000" w:themeColor="text1"/>
        </w:rPr>
      </w:pPr>
    </w:p>
    <w:p w14:paraId="5665A273" w14:textId="77777777" w:rsidR="006D367F" w:rsidRPr="000113B8" w:rsidRDefault="006D367F" w:rsidP="006D367F">
      <w:pPr>
        <w:ind w:right="49"/>
        <w:jc w:val="both"/>
        <w:rPr>
          <w:rFonts w:ascii="Garamond" w:hAnsi="Garamond" w:cs="Arial"/>
          <w:bCs/>
          <w:color w:val="000000" w:themeColor="text1"/>
        </w:rPr>
      </w:pPr>
      <w:r w:rsidRPr="000113B8">
        <w:rPr>
          <w:rFonts w:ascii="Garamond" w:hAnsi="Garamond" w:cs="Arial"/>
          <w:bCs/>
          <w:color w:val="000000" w:themeColor="text1"/>
        </w:rPr>
        <w:t>La Constitución Nacional establece que la actividad aseguradora en Colombia es de interés público razón por la cual solo puede ser ejercida en el país previa autorización del Estado. (Ver artículo 335 C.N.)</w:t>
      </w:r>
    </w:p>
    <w:p w14:paraId="1415F889" w14:textId="77777777" w:rsidR="006D367F" w:rsidRPr="000113B8" w:rsidRDefault="006D367F" w:rsidP="006D367F">
      <w:pPr>
        <w:ind w:right="49"/>
        <w:jc w:val="both"/>
        <w:rPr>
          <w:rFonts w:ascii="Garamond" w:hAnsi="Garamond" w:cs="Arial"/>
          <w:bCs/>
          <w:color w:val="000000" w:themeColor="text1"/>
        </w:rPr>
      </w:pPr>
    </w:p>
    <w:p w14:paraId="29EC62AF" w14:textId="77777777" w:rsidR="006D367F" w:rsidRPr="000113B8" w:rsidRDefault="006D367F" w:rsidP="006D367F">
      <w:pPr>
        <w:ind w:right="49"/>
        <w:jc w:val="both"/>
        <w:rPr>
          <w:rFonts w:ascii="Garamond" w:hAnsi="Garamond" w:cs="Arial"/>
          <w:bCs/>
          <w:color w:val="000000" w:themeColor="text1"/>
        </w:rPr>
      </w:pPr>
      <w:r w:rsidRPr="000113B8">
        <w:rPr>
          <w:rFonts w:ascii="Garamond" w:hAnsi="Garamond" w:cs="Arial"/>
          <w:bCs/>
          <w:color w:val="000000" w:themeColor="text1"/>
        </w:rPr>
        <w:t>Por ello, cualquier persona que desee desarrollar el negocio de los seguros en Colombia debe contar con la autorización previa de la Superintendencia Financiera de Colombia. (Ver artículos 39 y 108, numeral 3 EOSF). Para desarrollar la actividad aseguradora en Colombia debe constituirse en el país una entidad bajo la forma de sociedad anónima mercantil o asociación cooperativa, una vez obtenida la autorización expresa de la Superintendencia Financiera de Colombia.</w:t>
      </w:r>
    </w:p>
    <w:p w14:paraId="6C928EEA" w14:textId="77777777" w:rsidR="006D367F" w:rsidRPr="000113B8" w:rsidRDefault="006D367F" w:rsidP="006D367F">
      <w:pPr>
        <w:ind w:right="51"/>
        <w:jc w:val="both"/>
        <w:rPr>
          <w:rFonts w:ascii="Garamond" w:hAnsi="Garamond" w:cs="Arial"/>
          <w:bCs/>
          <w:color w:val="000000" w:themeColor="text1"/>
        </w:rPr>
      </w:pPr>
    </w:p>
    <w:p w14:paraId="4D81A1D1" w14:textId="77777777" w:rsidR="006D367F" w:rsidRPr="000113B8" w:rsidRDefault="006D367F" w:rsidP="009A7F8F">
      <w:pPr>
        <w:pStyle w:val="Textoindependiente"/>
        <w:ind w:right="51"/>
        <w:jc w:val="both"/>
        <w:rPr>
          <w:rFonts w:ascii="Garamond" w:hAnsi="Garamond"/>
          <w:bCs/>
          <w:color w:val="000000" w:themeColor="text1"/>
          <w:kern w:val="3"/>
          <w:lang w:bidi="hi-IN"/>
        </w:rPr>
      </w:pPr>
      <w:r w:rsidRPr="000113B8">
        <w:rPr>
          <w:rFonts w:ascii="Garamond" w:hAnsi="Garamond"/>
          <w:bCs/>
          <w:color w:val="000000" w:themeColor="text1"/>
          <w:kern w:val="3"/>
          <w:lang w:bidi="hi-IN"/>
        </w:rPr>
        <w:t>Esto significa que las entidades aseguradoras extranjeras no pueden operar ni contratar directamente seguros en Colombia; para ello deben constituir una entidad filial en el país de acuerdo con lo dispuesto en la Constitución y la Ley.</w:t>
      </w:r>
    </w:p>
    <w:p w14:paraId="01299DAE" w14:textId="77777777" w:rsidR="006D367F" w:rsidRPr="000113B8" w:rsidRDefault="006D367F" w:rsidP="006D367F">
      <w:pPr>
        <w:pStyle w:val="Textoindependiente"/>
        <w:ind w:right="51"/>
        <w:rPr>
          <w:rFonts w:ascii="Garamond" w:hAnsi="Garamond"/>
          <w:bCs/>
          <w:color w:val="000000" w:themeColor="text1"/>
          <w:kern w:val="3"/>
          <w:lang w:bidi="hi-IN"/>
        </w:rPr>
      </w:pPr>
    </w:p>
    <w:p w14:paraId="3492CC04" w14:textId="77777777" w:rsidR="006D367F" w:rsidRPr="000113B8" w:rsidRDefault="006D367F" w:rsidP="009A7F8F">
      <w:pPr>
        <w:pStyle w:val="Textoindependiente"/>
        <w:ind w:right="51"/>
        <w:jc w:val="both"/>
        <w:rPr>
          <w:rFonts w:ascii="Garamond" w:hAnsi="Garamond"/>
          <w:bCs/>
          <w:color w:val="000000" w:themeColor="text1"/>
          <w:kern w:val="3"/>
          <w:lang w:bidi="hi-IN"/>
        </w:rPr>
      </w:pPr>
      <w:r w:rsidRPr="000113B8">
        <w:rPr>
          <w:rFonts w:ascii="Garamond" w:hAnsi="Garamond"/>
          <w:bCs/>
          <w:color w:val="000000" w:themeColor="text1"/>
          <w:kern w:val="3"/>
          <w:lang w:bidi="hi-IN"/>
        </w:rPr>
        <w:t>Así las cosas, se concluye que al presente proceso no le aplican los tratados indicados en el anexo de Acuerdos Comerciales aplicables en el Proceso de Contratación, de acuerdo con el Anexo 4, numeral 8 “Servicios Financieros” del Manual para el manejo de los Acuerdos Comerciales en Procesos de Contratación (CCE-EICP-MA-07) expedido por Colombia Compra Eficiente, puesto que los seguros se equiparan a servicios financieros para los cuales es necesario ser una sociedad comercial constituida en Colombia y contar con la autorización de la Superintendencia Financiera de Colombia, tal y como lo establece el Decreto 663 de 1993.</w:t>
      </w:r>
      <w:bookmarkEnd w:id="30"/>
    </w:p>
    <w:p w14:paraId="7EA98AF2" w14:textId="77777777" w:rsidR="006D367F" w:rsidRPr="000113B8" w:rsidRDefault="006D367F" w:rsidP="006D367F">
      <w:pPr>
        <w:pStyle w:val="Textoindependiente"/>
        <w:ind w:right="51"/>
        <w:rPr>
          <w:rFonts w:ascii="Garamond" w:hAnsi="Garamond"/>
          <w:bCs/>
          <w:color w:val="000000" w:themeColor="text1"/>
          <w:kern w:val="3"/>
          <w:lang w:bidi="hi-IN"/>
        </w:rPr>
      </w:pPr>
    </w:p>
    <w:p w14:paraId="494454EC" w14:textId="3D7AAF7A" w:rsidR="006D367F" w:rsidRPr="000113B8" w:rsidRDefault="006D367F" w:rsidP="00C54B99">
      <w:pPr>
        <w:pStyle w:val="Prrafodelista"/>
        <w:widowControl/>
        <w:numPr>
          <w:ilvl w:val="0"/>
          <w:numId w:val="24"/>
        </w:numPr>
        <w:autoSpaceDE/>
        <w:autoSpaceDN/>
        <w:spacing w:after="200"/>
        <w:contextualSpacing/>
        <w:jc w:val="both"/>
        <w:rPr>
          <w:rFonts w:ascii="Garamond" w:eastAsia="Batang" w:hAnsi="Garamond" w:cs="Arial"/>
          <w:color w:val="000000" w:themeColor="text1"/>
        </w:rPr>
      </w:pPr>
      <w:bookmarkStart w:id="31" w:name="_Hlk219477105"/>
      <w:r w:rsidRPr="000113B8">
        <w:rPr>
          <w:rFonts w:ascii="Garamond" w:eastAsia="Batang" w:hAnsi="Garamond" w:cs="Arial"/>
          <w:b/>
          <w:color w:val="000000" w:themeColor="text1"/>
        </w:rPr>
        <w:t>IDENTIFICACIÓN DE LAS MIPYMES EN EL SECTOR</w:t>
      </w:r>
    </w:p>
    <w:p w14:paraId="5D7AAC49" w14:textId="77777777" w:rsidR="006D367F" w:rsidRPr="000113B8" w:rsidRDefault="006D367F" w:rsidP="006D367F">
      <w:pPr>
        <w:jc w:val="both"/>
        <w:rPr>
          <w:rFonts w:ascii="Garamond" w:eastAsia="Batang" w:hAnsi="Garamond" w:cs="Arial"/>
          <w:i/>
          <w:iCs/>
          <w:color w:val="000000" w:themeColor="text1"/>
        </w:rPr>
      </w:pPr>
      <w:r w:rsidRPr="000113B8">
        <w:rPr>
          <w:rFonts w:ascii="Garamond" w:eastAsia="Batang" w:hAnsi="Garamond" w:cs="Arial"/>
          <w:color w:val="000000" w:themeColor="text1"/>
        </w:rPr>
        <w:t xml:space="preserve">De acuerdo con lo señalado en el artículo 5 del Decreto 1860 del 24 de diciembre de 2021 por medio del cual se modifica el artículo 2.2.1.2.4.2.2., </w:t>
      </w:r>
      <w:r w:rsidRPr="000113B8">
        <w:rPr>
          <w:rFonts w:ascii="Garamond" w:eastAsia="Batang" w:hAnsi="Garamond" w:cs="Arial"/>
          <w:i/>
          <w:iCs/>
          <w:color w:val="000000" w:themeColor="text1"/>
        </w:rPr>
        <w:t xml:space="preserve">“Las Entidades Estatales independientemente de su régimen de contratación, los patrimonios autónomos constituidos por Entidades Estatales y los particulares que ejecuten recursos públicos, deben limitar la convocatoria de los Procesos de Contratación con pluralidad de oferentes a las </w:t>
      </w:r>
      <w:proofErr w:type="spellStart"/>
      <w:r w:rsidRPr="000113B8">
        <w:rPr>
          <w:rFonts w:ascii="Garamond" w:eastAsia="Batang" w:hAnsi="Garamond" w:cs="Arial"/>
          <w:i/>
          <w:iCs/>
          <w:color w:val="000000" w:themeColor="text1"/>
        </w:rPr>
        <w:t>Mipyme</w:t>
      </w:r>
      <w:proofErr w:type="spellEnd"/>
      <w:r w:rsidRPr="000113B8">
        <w:rPr>
          <w:rFonts w:ascii="Garamond" w:eastAsia="Batang" w:hAnsi="Garamond" w:cs="Arial"/>
          <w:i/>
          <w:iCs/>
          <w:color w:val="000000" w:themeColor="text1"/>
        </w:rPr>
        <w:t xml:space="preserve"> colombianas con mínimo un (1) año de existencia, cuando concurran los siguientes requisitos:</w:t>
      </w:r>
    </w:p>
    <w:p w14:paraId="46306275" w14:textId="77777777" w:rsidR="006D367F" w:rsidRPr="000113B8" w:rsidRDefault="006D367F" w:rsidP="006D367F">
      <w:pPr>
        <w:jc w:val="both"/>
        <w:rPr>
          <w:rFonts w:ascii="Garamond" w:eastAsia="Batang" w:hAnsi="Garamond" w:cs="Arial"/>
          <w:i/>
          <w:iCs/>
          <w:color w:val="000000" w:themeColor="text1"/>
        </w:rPr>
      </w:pPr>
    </w:p>
    <w:p w14:paraId="493DF899" w14:textId="77777777" w:rsidR="006D367F" w:rsidRPr="000113B8" w:rsidRDefault="006D367F" w:rsidP="006D367F">
      <w:pPr>
        <w:ind w:left="708"/>
        <w:jc w:val="both"/>
        <w:rPr>
          <w:rFonts w:ascii="Garamond" w:eastAsia="Batang" w:hAnsi="Garamond" w:cs="Arial"/>
          <w:i/>
          <w:iCs/>
          <w:color w:val="000000" w:themeColor="text1"/>
        </w:rPr>
      </w:pPr>
      <w:r w:rsidRPr="000113B8">
        <w:rPr>
          <w:rFonts w:ascii="Garamond" w:eastAsia="Batang" w:hAnsi="Garamond" w:cs="Arial"/>
          <w:i/>
          <w:iCs/>
          <w:color w:val="000000" w:themeColor="text1"/>
        </w:rPr>
        <w:t>1.El valor del proceso sea menor a ciento veinticinco mil dólares de los Estados Unidos de América (US$125.000), liquidados con la tasa de cambio que para el efecto determina cada dos años el Ministerio de Comercio, Industria y Turismo.</w:t>
      </w:r>
    </w:p>
    <w:p w14:paraId="6976D41B" w14:textId="77777777" w:rsidR="006D367F" w:rsidRPr="000113B8" w:rsidRDefault="006D367F" w:rsidP="006D367F">
      <w:pPr>
        <w:ind w:left="708"/>
        <w:jc w:val="both"/>
        <w:rPr>
          <w:rFonts w:ascii="Garamond" w:eastAsia="Batang" w:hAnsi="Garamond" w:cs="Arial"/>
          <w:i/>
          <w:iCs/>
          <w:color w:val="000000" w:themeColor="text1"/>
        </w:rPr>
      </w:pPr>
    </w:p>
    <w:p w14:paraId="0EB3F770" w14:textId="77777777" w:rsidR="006D367F" w:rsidRPr="000113B8" w:rsidRDefault="006D367F" w:rsidP="006D367F">
      <w:pPr>
        <w:ind w:left="708"/>
        <w:jc w:val="both"/>
        <w:rPr>
          <w:rFonts w:ascii="Garamond" w:eastAsia="Batang" w:hAnsi="Garamond" w:cs="Arial"/>
          <w:i/>
          <w:iCs/>
          <w:color w:val="000000" w:themeColor="text1"/>
        </w:rPr>
      </w:pPr>
      <w:r w:rsidRPr="000113B8">
        <w:rPr>
          <w:rFonts w:ascii="Garamond" w:eastAsia="Batang" w:hAnsi="Garamond" w:cs="Arial"/>
          <w:i/>
          <w:iCs/>
          <w:color w:val="000000" w:themeColor="text1"/>
        </w:rPr>
        <w:t xml:space="preserve">2. Se hayan recibido solicitudes de por lo menos dos (2) </w:t>
      </w:r>
      <w:proofErr w:type="spellStart"/>
      <w:r w:rsidRPr="000113B8">
        <w:rPr>
          <w:rFonts w:ascii="Garamond" w:eastAsia="Batang" w:hAnsi="Garamond" w:cs="Arial"/>
          <w:i/>
          <w:iCs/>
          <w:color w:val="000000" w:themeColor="text1"/>
        </w:rPr>
        <w:t>Mipyme</w:t>
      </w:r>
      <w:proofErr w:type="spellEnd"/>
      <w:r w:rsidRPr="000113B8">
        <w:rPr>
          <w:rFonts w:ascii="Garamond" w:eastAsia="Batang" w:hAnsi="Garamond" w:cs="Arial"/>
          <w:i/>
          <w:iCs/>
          <w:color w:val="000000" w:themeColor="text1"/>
        </w:rPr>
        <w:t xml:space="preserve"> colombianas para limitar la convocatoria a </w:t>
      </w:r>
      <w:proofErr w:type="spellStart"/>
      <w:r w:rsidRPr="000113B8">
        <w:rPr>
          <w:rFonts w:ascii="Garamond" w:eastAsia="Batang" w:hAnsi="Garamond" w:cs="Arial"/>
          <w:i/>
          <w:iCs/>
          <w:color w:val="000000" w:themeColor="text1"/>
        </w:rPr>
        <w:t>Mipyme</w:t>
      </w:r>
      <w:proofErr w:type="spellEnd"/>
      <w:r w:rsidRPr="000113B8">
        <w:rPr>
          <w:rFonts w:ascii="Garamond" w:eastAsia="Batang" w:hAnsi="Garamond" w:cs="Arial"/>
          <w:i/>
          <w:iCs/>
          <w:color w:val="000000" w:themeColor="text1"/>
        </w:rPr>
        <w:t xml:space="preserve"> colombianas por lo menos un (1) día hábil antes de la expedición del acto administrativo de apertura, o el que haga sus veces de acuerdo con la normativa aplicable a cada Proceso de Contratación.” (…)</w:t>
      </w:r>
    </w:p>
    <w:p w14:paraId="29283F2F" w14:textId="77777777" w:rsidR="006D367F" w:rsidRPr="000113B8" w:rsidRDefault="006D367F" w:rsidP="006D367F">
      <w:pPr>
        <w:jc w:val="both"/>
        <w:rPr>
          <w:rFonts w:ascii="Garamond" w:eastAsia="Batang" w:hAnsi="Garamond" w:cs="Arial"/>
          <w:i/>
          <w:iCs/>
          <w:color w:val="000000" w:themeColor="text1"/>
        </w:rPr>
      </w:pPr>
    </w:p>
    <w:p w14:paraId="080CAA18" w14:textId="77777777" w:rsidR="006D367F" w:rsidRPr="000113B8" w:rsidRDefault="006D367F" w:rsidP="006D367F">
      <w:pPr>
        <w:jc w:val="both"/>
        <w:rPr>
          <w:rFonts w:ascii="Garamond" w:eastAsia="Batang" w:hAnsi="Garamond" w:cs="Arial"/>
          <w:color w:val="000000" w:themeColor="text1"/>
        </w:rPr>
      </w:pPr>
      <w:r w:rsidRPr="000113B8">
        <w:rPr>
          <w:rFonts w:ascii="Garamond" w:eastAsia="Batang" w:hAnsi="Garamond" w:cs="Arial"/>
          <w:color w:val="000000" w:themeColor="text1"/>
        </w:rPr>
        <w:t xml:space="preserve">Conforme la anterior normativa y en cumplimiento del artículo 2.2.1.1.1.6.1 del Decreto 1082 de 2015, el </w:t>
      </w:r>
      <w:r w:rsidRPr="000113B8">
        <w:rPr>
          <w:rFonts w:ascii="Garamond" w:eastAsia="Batang" w:hAnsi="Garamond" w:cs="Arial"/>
          <w:b/>
          <w:bCs/>
          <w:color w:val="000000" w:themeColor="text1"/>
        </w:rPr>
        <w:t xml:space="preserve">Fondo de Desarrollo Rural de Sumapaz </w:t>
      </w:r>
      <w:r w:rsidRPr="000113B8">
        <w:rPr>
          <w:rFonts w:ascii="Garamond" w:eastAsia="Batang" w:hAnsi="Garamond" w:cs="Arial"/>
          <w:color w:val="000000" w:themeColor="text1"/>
        </w:rPr>
        <w:t xml:space="preserve">hace constar que ha realizado el análisis del sector con la finalidad </w:t>
      </w:r>
      <w:r w:rsidRPr="000113B8">
        <w:rPr>
          <w:rFonts w:ascii="Garamond" w:eastAsia="Batang" w:hAnsi="Garamond" w:cs="Arial"/>
          <w:color w:val="000000" w:themeColor="text1"/>
        </w:rPr>
        <w:lastRenderedPageBreak/>
        <w:t>de identificar la aplicabilidad de dichas normas en el presente proceso de selección.</w:t>
      </w:r>
    </w:p>
    <w:p w14:paraId="68E62126" w14:textId="77777777" w:rsidR="006D367F" w:rsidRPr="000113B8" w:rsidRDefault="006D367F" w:rsidP="006D367F">
      <w:pPr>
        <w:jc w:val="both"/>
        <w:rPr>
          <w:rFonts w:ascii="Garamond" w:eastAsia="Batang" w:hAnsi="Garamond" w:cs="Arial"/>
          <w:color w:val="000000" w:themeColor="text1"/>
        </w:rPr>
      </w:pPr>
    </w:p>
    <w:p w14:paraId="5F92A51D" w14:textId="77777777" w:rsidR="006D367F" w:rsidRPr="000113B8" w:rsidRDefault="006D367F" w:rsidP="006D367F">
      <w:pPr>
        <w:jc w:val="both"/>
        <w:rPr>
          <w:rFonts w:ascii="Garamond" w:eastAsia="Batang" w:hAnsi="Garamond" w:cs="Arial"/>
          <w:color w:val="000000" w:themeColor="text1"/>
        </w:rPr>
      </w:pPr>
      <w:r w:rsidRPr="000113B8">
        <w:rPr>
          <w:rFonts w:ascii="Garamond" w:eastAsia="Batang" w:hAnsi="Garamond" w:cs="Arial"/>
          <w:color w:val="000000" w:themeColor="text1"/>
        </w:rPr>
        <w:t xml:space="preserve">De la misma forma, se hace constar que se evalúa la promoción del acceso a las </w:t>
      </w:r>
      <w:proofErr w:type="spellStart"/>
      <w:r w:rsidRPr="000113B8">
        <w:rPr>
          <w:rFonts w:ascii="Garamond" w:eastAsia="Batang" w:hAnsi="Garamond" w:cs="Arial"/>
          <w:color w:val="000000" w:themeColor="text1"/>
        </w:rPr>
        <w:t>mipymes</w:t>
      </w:r>
      <w:proofErr w:type="spellEnd"/>
      <w:r w:rsidRPr="000113B8">
        <w:rPr>
          <w:rFonts w:ascii="Garamond" w:eastAsia="Batang" w:hAnsi="Garamond" w:cs="Arial"/>
          <w:color w:val="000000" w:themeColor="text1"/>
        </w:rPr>
        <w:t xml:space="preserve"> al mercado de compras públicas establecido en el artículo 33 de la Ley 2069 de 2020.</w:t>
      </w:r>
    </w:p>
    <w:p w14:paraId="17D54279" w14:textId="77777777" w:rsidR="006D367F" w:rsidRPr="000113B8" w:rsidRDefault="006D367F" w:rsidP="006D367F">
      <w:pPr>
        <w:jc w:val="both"/>
        <w:rPr>
          <w:rFonts w:ascii="Garamond" w:eastAsia="Batang" w:hAnsi="Garamond" w:cs="Arial"/>
          <w:color w:val="000000" w:themeColor="text1"/>
        </w:rPr>
      </w:pPr>
    </w:p>
    <w:p w14:paraId="6B63D5E0" w14:textId="77777777" w:rsidR="006D367F" w:rsidRPr="000113B8" w:rsidRDefault="006D367F" w:rsidP="006D367F">
      <w:pPr>
        <w:contextualSpacing/>
        <w:jc w:val="both"/>
        <w:rPr>
          <w:rFonts w:ascii="Garamond" w:hAnsi="Garamond" w:cs="Arial"/>
          <w:color w:val="000000" w:themeColor="text1"/>
        </w:rPr>
      </w:pPr>
      <w:r w:rsidRPr="000113B8">
        <w:rPr>
          <w:rFonts w:ascii="Garamond" w:hAnsi="Garamond" w:cs="Arial"/>
          <w:color w:val="000000" w:themeColor="text1"/>
        </w:rPr>
        <w:t>Así las cosas y en cumplimiento de lo dispuesto en el Decreto 1860 de 2021</w:t>
      </w:r>
      <w:r w:rsidRPr="000113B8">
        <w:rPr>
          <w:rFonts w:ascii="Garamond" w:hAnsi="Garamond" w:cs="Arial"/>
          <w:color w:val="000000" w:themeColor="text1"/>
          <w:vertAlign w:val="superscript"/>
          <w:lang w:val="es-MX"/>
        </w:rPr>
        <w:footnoteReference w:id="14"/>
      </w:r>
      <w:r w:rsidRPr="000113B8">
        <w:rPr>
          <w:rFonts w:ascii="Garamond" w:hAnsi="Garamond" w:cs="Arial"/>
          <w:color w:val="000000" w:themeColor="text1"/>
          <w:lang w:val="es-MX"/>
        </w:rPr>
        <w:t>,</w:t>
      </w:r>
      <w:r w:rsidRPr="000113B8">
        <w:rPr>
          <w:rFonts w:ascii="Garamond" w:hAnsi="Garamond" w:cs="Arial"/>
          <w:color w:val="000000" w:themeColor="text1"/>
        </w:rPr>
        <w:t xml:space="preserve"> se complementa el análisis de la oferta categorizando una muestra de empresas, por sectores (Manufacturero o Industrial, Servicios y Comercio) y por tamaño empresarial (Micro, Pequeña, Mediana y Gran empresa).</w:t>
      </w:r>
    </w:p>
    <w:p w14:paraId="7010DBDF" w14:textId="77777777" w:rsidR="006D367F" w:rsidRPr="000113B8" w:rsidRDefault="006D367F" w:rsidP="006D367F">
      <w:pPr>
        <w:contextualSpacing/>
        <w:jc w:val="both"/>
        <w:rPr>
          <w:rFonts w:ascii="Garamond" w:hAnsi="Garamond" w:cs="Arial"/>
          <w:b/>
          <w:bCs/>
          <w:color w:val="000000" w:themeColor="text1"/>
        </w:rPr>
      </w:pPr>
    </w:p>
    <w:p w14:paraId="51CFF09F" w14:textId="77777777" w:rsidR="006D367F" w:rsidRPr="000113B8" w:rsidRDefault="006D367F" w:rsidP="006D367F">
      <w:pPr>
        <w:contextualSpacing/>
        <w:jc w:val="both"/>
        <w:rPr>
          <w:rFonts w:ascii="Garamond" w:hAnsi="Garamond" w:cs="Arial"/>
          <w:color w:val="000000" w:themeColor="text1"/>
        </w:rPr>
      </w:pPr>
      <w:r w:rsidRPr="000113B8">
        <w:rPr>
          <w:rFonts w:ascii="Garamond" w:hAnsi="Garamond" w:cs="Arial"/>
          <w:color w:val="000000" w:themeColor="text1"/>
        </w:rPr>
        <w:t>La clasificación por sectores se realizó con base en los CIIU en los que se encuentran clasificadas las empresas que pueden ofrecer los bienes o servicios requeridos por la Entidad.</w:t>
      </w:r>
    </w:p>
    <w:p w14:paraId="314EF248" w14:textId="77777777" w:rsidR="006D367F" w:rsidRPr="000113B8" w:rsidRDefault="006D367F" w:rsidP="006D367F">
      <w:pPr>
        <w:contextualSpacing/>
        <w:jc w:val="both"/>
        <w:rPr>
          <w:rFonts w:ascii="Garamond" w:hAnsi="Garamond" w:cs="Arial"/>
          <w:color w:val="000000" w:themeColor="text1"/>
        </w:rPr>
      </w:pPr>
    </w:p>
    <w:p w14:paraId="3CB18AEC" w14:textId="77777777" w:rsidR="006D367F" w:rsidRPr="000113B8" w:rsidRDefault="006D367F" w:rsidP="006D367F">
      <w:pPr>
        <w:contextualSpacing/>
        <w:jc w:val="both"/>
        <w:rPr>
          <w:rFonts w:ascii="Garamond" w:hAnsi="Garamond" w:cs="Arial"/>
          <w:color w:val="000000" w:themeColor="text1"/>
        </w:rPr>
      </w:pPr>
      <w:r w:rsidRPr="000113B8">
        <w:rPr>
          <w:rFonts w:ascii="Garamond" w:hAnsi="Garamond" w:cs="Arial"/>
          <w:color w:val="000000" w:themeColor="text1"/>
        </w:rPr>
        <w:t>Por su parte, la clasificación del tamaño empresarial se realizó de acuerdo con la cuenta de ingresos por actividades ordinarias anuales siguiendo las disposiciones del Decreto 957 de 2019</w:t>
      </w:r>
      <w:r w:rsidRPr="000113B8">
        <w:rPr>
          <w:rFonts w:ascii="Garamond" w:hAnsi="Garamond" w:cs="Arial"/>
          <w:color w:val="000000" w:themeColor="text1"/>
          <w:vertAlign w:val="superscript"/>
        </w:rPr>
        <w:footnoteReference w:id="15"/>
      </w:r>
      <w:r w:rsidRPr="000113B8">
        <w:rPr>
          <w:rFonts w:ascii="Garamond" w:hAnsi="Garamond" w:cs="Arial"/>
          <w:color w:val="000000" w:themeColor="text1"/>
        </w:rPr>
        <w:t xml:space="preserve"> y aplicándoles el factor clasificatorio con las Unidades de Valor Unitario (U.V.T.)</w:t>
      </w:r>
    </w:p>
    <w:p w14:paraId="022B669D" w14:textId="77777777" w:rsidR="006D367F" w:rsidRPr="000113B8" w:rsidRDefault="006D367F" w:rsidP="006D367F">
      <w:pPr>
        <w:contextualSpacing/>
        <w:jc w:val="both"/>
        <w:rPr>
          <w:rFonts w:ascii="Garamond" w:hAnsi="Garamond" w:cs="Arial"/>
          <w:color w:val="000000" w:themeColor="text1"/>
        </w:rPr>
      </w:pPr>
    </w:p>
    <w:p w14:paraId="560C5792" w14:textId="77777777" w:rsidR="006D367F" w:rsidRPr="000113B8" w:rsidRDefault="006D367F" w:rsidP="006D367F">
      <w:pPr>
        <w:ind w:hanging="2"/>
        <w:contextualSpacing/>
        <w:jc w:val="both"/>
        <w:rPr>
          <w:rFonts w:ascii="Garamond" w:hAnsi="Garamond" w:cs="Arial"/>
          <w:color w:val="000000" w:themeColor="text1"/>
        </w:rPr>
      </w:pPr>
      <w:r w:rsidRPr="000113B8">
        <w:rPr>
          <w:rFonts w:ascii="Garamond" w:hAnsi="Garamond" w:cs="Arial"/>
          <w:color w:val="000000" w:themeColor="text1"/>
        </w:rPr>
        <w:t>Así las cosas, tenemos que respecto de las empresas activas por tamaño y por sector, microempresas aumentaron un 0,6 % entre enero y febrero de 2026 respecto al mismo periodo del año anterior. Las empresas grandes se mantuvieron igual. Las empresas pequeñas y medianas disminuyeron un 9,1 % y 13,3 %.</w:t>
      </w:r>
    </w:p>
    <w:p w14:paraId="32886145" w14:textId="77777777" w:rsidR="006D367F" w:rsidRPr="000113B8" w:rsidRDefault="006D367F" w:rsidP="006D367F">
      <w:pPr>
        <w:ind w:hanging="2"/>
        <w:contextualSpacing/>
        <w:jc w:val="both"/>
        <w:rPr>
          <w:rFonts w:ascii="Garamond" w:hAnsi="Garamond" w:cs="Arial"/>
          <w:color w:val="000000" w:themeColor="text1"/>
        </w:rPr>
      </w:pPr>
    </w:p>
    <w:p w14:paraId="35086DC2" w14:textId="77777777" w:rsidR="006D367F" w:rsidRPr="000113B8" w:rsidRDefault="006D367F" w:rsidP="006D367F">
      <w:pPr>
        <w:ind w:hanging="2"/>
        <w:contextualSpacing/>
        <w:jc w:val="both"/>
        <w:rPr>
          <w:rFonts w:ascii="Garamond" w:hAnsi="Garamond" w:cs="Arial"/>
          <w:color w:val="000000" w:themeColor="text1"/>
        </w:rPr>
      </w:pPr>
      <w:r w:rsidRPr="000113B8">
        <w:rPr>
          <w:rFonts w:ascii="Garamond" w:hAnsi="Garamond" w:cs="Arial"/>
          <w:color w:val="000000" w:themeColor="text1"/>
        </w:rPr>
        <w:t>Por otro lado, en el sector de comercio el número de empresas disminuyó 0,7%, mientras que en servicios aumentó 6,6 %.</w:t>
      </w:r>
    </w:p>
    <w:p w14:paraId="1F676F37" w14:textId="77777777" w:rsidR="006D367F" w:rsidRPr="000113B8" w:rsidRDefault="006D367F" w:rsidP="006D367F">
      <w:pPr>
        <w:ind w:hanging="2"/>
        <w:contextualSpacing/>
        <w:jc w:val="both"/>
        <w:rPr>
          <w:rFonts w:ascii="Garamond" w:hAnsi="Garamond" w:cs="Arial"/>
          <w:color w:val="000000" w:themeColor="text1"/>
        </w:rPr>
      </w:pPr>
    </w:p>
    <w:p w14:paraId="5E224C3F" w14:textId="77777777" w:rsidR="006D367F" w:rsidRPr="000113B8" w:rsidRDefault="006D367F" w:rsidP="006D367F">
      <w:pPr>
        <w:ind w:hanging="2"/>
        <w:contextualSpacing/>
        <w:jc w:val="center"/>
        <w:rPr>
          <w:rFonts w:ascii="Garamond" w:hAnsi="Garamond" w:cs="Arial"/>
          <w:color w:val="000000" w:themeColor="text1"/>
        </w:rPr>
      </w:pPr>
      <w:r w:rsidRPr="000113B8">
        <w:rPr>
          <w:rFonts w:ascii="Garamond" w:hAnsi="Garamond" w:cs="Arial"/>
          <w:noProof/>
          <w:color w:val="000000" w:themeColor="text1"/>
        </w:rPr>
        <w:drawing>
          <wp:inline distT="0" distB="0" distL="0" distR="0" wp14:anchorId="161C82E2" wp14:editId="5ED5E859">
            <wp:extent cx="5971540" cy="2179320"/>
            <wp:effectExtent l="38100" t="38100" r="29210" b="30480"/>
            <wp:docPr id="214060589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0605898" name=""/>
                    <pic:cNvPicPr/>
                  </pic:nvPicPr>
                  <pic:blipFill>
                    <a:blip r:embed="rId68"/>
                    <a:stretch>
                      <a:fillRect/>
                    </a:stretch>
                  </pic:blipFill>
                  <pic:spPr>
                    <a:xfrm>
                      <a:off x="0" y="0"/>
                      <a:ext cx="5971540" cy="2179320"/>
                    </a:xfrm>
                    <a:prstGeom prst="rect">
                      <a:avLst/>
                    </a:prstGeom>
                    <a:ln w="38100">
                      <a:solidFill>
                        <a:schemeClr val="tx1"/>
                      </a:solidFill>
                    </a:ln>
                  </pic:spPr>
                </pic:pic>
              </a:graphicData>
            </a:graphic>
          </wp:inline>
        </w:drawing>
      </w:r>
    </w:p>
    <w:p w14:paraId="64D400B9" w14:textId="77777777" w:rsidR="006D367F" w:rsidRPr="000113B8" w:rsidRDefault="006D367F" w:rsidP="006D367F">
      <w:pPr>
        <w:ind w:hanging="2"/>
        <w:contextualSpacing/>
        <w:jc w:val="center"/>
        <w:rPr>
          <w:rFonts w:ascii="Garamond" w:hAnsi="Garamond" w:cs="Arial"/>
          <w:color w:val="000000" w:themeColor="text1"/>
        </w:rPr>
      </w:pPr>
      <w:r w:rsidRPr="000113B8">
        <w:rPr>
          <w:rFonts w:ascii="Garamond" w:hAnsi="Garamond" w:cs="Arial"/>
          <w:color w:val="000000" w:themeColor="text1"/>
        </w:rPr>
        <w:t>Fuente: MINCIT - Informe de tejido empresarial Oficina Estudios Económicos Febrero de 2026</w:t>
      </w:r>
    </w:p>
    <w:p w14:paraId="342CB25E" w14:textId="77777777" w:rsidR="006D367F" w:rsidRPr="000113B8" w:rsidRDefault="006D367F" w:rsidP="006D367F">
      <w:pPr>
        <w:jc w:val="both"/>
        <w:rPr>
          <w:rFonts w:ascii="Garamond" w:hAnsi="Garamond" w:cs="Arial"/>
          <w:color w:val="000000" w:themeColor="text1"/>
        </w:rPr>
      </w:pPr>
    </w:p>
    <w:p w14:paraId="31C38EF9" w14:textId="77777777" w:rsidR="006D367F" w:rsidRPr="000113B8" w:rsidRDefault="006D367F" w:rsidP="006D367F">
      <w:pPr>
        <w:jc w:val="both"/>
        <w:rPr>
          <w:rFonts w:ascii="Garamond" w:hAnsi="Garamond" w:cs="Arial"/>
          <w:color w:val="000000" w:themeColor="text1"/>
        </w:rPr>
      </w:pPr>
      <w:r w:rsidRPr="000113B8">
        <w:rPr>
          <w:rFonts w:ascii="Garamond" w:hAnsi="Garamond" w:cs="Arial"/>
          <w:color w:val="000000" w:themeColor="text1"/>
        </w:rPr>
        <w:t>A continuación, se muestra el detalle de las compañías de seguros que participan en la suscripción de riesgos en el sector estatal y que tienen aprobada la comercialización de los ramos objeto de contratación:</w:t>
      </w:r>
    </w:p>
    <w:p w14:paraId="3650C398" w14:textId="77777777" w:rsidR="006D367F" w:rsidRPr="000113B8" w:rsidRDefault="006D367F" w:rsidP="006D367F">
      <w:pPr>
        <w:jc w:val="both"/>
        <w:rPr>
          <w:rFonts w:ascii="Garamond" w:hAnsi="Garamond" w:cs="Arial"/>
          <w:color w:val="000000" w:themeColor="text1"/>
        </w:rPr>
      </w:pPr>
    </w:p>
    <w:tbl>
      <w:tblPr>
        <w:tblW w:w="4922" w:type="pct"/>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544"/>
        <w:gridCol w:w="5278"/>
        <w:gridCol w:w="1434"/>
        <w:gridCol w:w="1948"/>
      </w:tblGrid>
      <w:tr w:rsidR="009A7F8F" w:rsidRPr="000113B8" w14:paraId="64916240" w14:textId="77777777" w:rsidTr="00EC7684">
        <w:trPr>
          <w:trHeight w:val="276"/>
        </w:trPr>
        <w:tc>
          <w:tcPr>
            <w:tcW w:w="296" w:type="pct"/>
            <w:vAlign w:val="center"/>
          </w:tcPr>
          <w:p w14:paraId="536C6F97" w14:textId="77777777" w:rsidR="006D367F" w:rsidRPr="000113B8" w:rsidRDefault="006D367F" w:rsidP="00EC7684">
            <w:pPr>
              <w:ind w:right="51"/>
              <w:jc w:val="center"/>
              <w:rPr>
                <w:rFonts w:ascii="Garamond" w:eastAsia="Batang" w:hAnsi="Garamond" w:cs="Arial"/>
                <w:b/>
                <w:bCs/>
                <w:color w:val="000000" w:themeColor="text1"/>
              </w:rPr>
            </w:pPr>
            <w:bookmarkStart w:id="32" w:name="_Hlk220068802"/>
            <w:r w:rsidRPr="000113B8">
              <w:rPr>
                <w:rFonts w:ascii="Garamond" w:eastAsia="Batang" w:hAnsi="Garamond" w:cs="Arial"/>
                <w:b/>
                <w:bCs/>
                <w:color w:val="000000" w:themeColor="text1"/>
              </w:rPr>
              <w:t>No.</w:t>
            </w:r>
          </w:p>
        </w:tc>
        <w:tc>
          <w:tcPr>
            <w:tcW w:w="2867" w:type="pct"/>
            <w:vAlign w:val="center"/>
            <w:hideMark/>
          </w:tcPr>
          <w:p w14:paraId="0201D7BD" w14:textId="77777777" w:rsidR="006D367F" w:rsidRPr="000113B8" w:rsidRDefault="006D367F" w:rsidP="00EC7684">
            <w:pPr>
              <w:ind w:right="51"/>
              <w:jc w:val="center"/>
              <w:rPr>
                <w:rFonts w:ascii="Garamond" w:eastAsia="Batang" w:hAnsi="Garamond" w:cs="Arial"/>
                <w:b/>
                <w:bCs/>
                <w:color w:val="000000" w:themeColor="text1"/>
              </w:rPr>
            </w:pPr>
            <w:r w:rsidRPr="000113B8">
              <w:rPr>
                <w:rFonts w:ascii="Garamond" w:eastAsia="Batang" w:hAnsi="Garamond" w:cs="Arial"/>
                <w:b/>
                <w:bCs/>
                <w:color w:val="000000" w:themeColor="text1"/>
              </w:rPr>
              <w:t>PROVEEDOR</w:t>
            </w:r>
          </w:p>
        </w:tc>
        <w:tc>
          <w:tcPr>
            <w:tcW w:w="779" w:type="pct"/>
            <w:vAlign w:val="center"/>
            <w:hideMark/>
          </w:tcPr>
          <w:p w14:paraId="1BBE2602" w14:textId="77777777" w:rsidR="006D367F" w:rsidRPr="000113B8" w:rsidRDefault="006D367F" w:rsidP="00EC7684">
            <w:pPr>
              <w:ind w:right="51"/>
              <w:jc w:val="center"/>
              <w:rPr>
                <w:rFonts w:ascii="Garamond" w:eastAsia="Batang" w:hAnsi="Garamond" w:cs="Arial"/>
                <w:b/>
                <w:bCs/>
                <w:color w:val="000000" w:themeColor="text1"/>
              </w:rPr>
            </w:pPr>
            <w:r w:rsidRPr="000113B8">
              <w:rPr>
                <w:rFonts w:ascii="Garamond" w:eastAsia="Batang" w:hAnsi="Garamond" w:cs="Arial"/>
                <w:b/>
                <w:bCs/>
                <w:color w:val="000000" w:themeColor="text1"/>
              </w:rPr>
              <w:t>NIT</w:t>
            </w:r>
          </w:p>
        </w:tc>
        <w:tc>
          <w:tcPr>
            <w:tcW w:w="1058" w:type="pct"/>
            <w:vAlign w:val="center"/>
          </w:tcPr>
          <w:p w14:paraId="68C4E4FB" w14:textId="77777777" w:rsidR="006D367F" w:rsidRPr="000113B8" w:rsidRDefault="006D367F" w:rsidP="00EC7684">
            <w:pPr>
              <w:ind w:right="51"/>
              <w:jc w:val="center"/>
              <w:rPr>
                <w:rFonts w:ascii="Garamond" w:eastAsia="Batang" w:hAnsi="Garamond" w:cs="Arial"/>
                <w:b/>
                <w:bCs/>
                <w:color w:val="000000" w:themeColor="text1"/>
              </w:rPr>
            </w:pPr>
            <w:r w:rsidRPr="000113B8">
              <w:rPr>
                <w:rFonts w:ascii="Garamond" w:eastAsia="Batang" w:hAnsi="Garamond" w:cs="Arial"/>
                <w:b/>
                <w:bCs/>
                <w:color w:val="000000" w:themeColor="text1"/>
              </w:rPr>
              <w:t>CLASIFICACIÓN (TAMAÑO EMPRESA)</w:t>
            </w:r>
          </w:p>
        </w:tc>
      </w:tr>
      <w:tr w:rsidR="009A7F8F" w:rsidRPr="000113B8" w14:paraId="5ADFD6A1" w14:textId="77777777" w:rsidTr="00EC7684">
        <w:trPr>
          <w:trHeight w:val="276"/>
        </w:trPr>
        <w:tc>
          <w:tcPr>
            <w:tcW w:w="296" w:type="pct"/>
            <w:vMerge w:val="restart"/>
            <w:shd w:val="clear" w:color="auto" w:fill="F2F2F2"/>
            <w:vAlign w:val="center"/>
          </w:tcPr>
          <w:p w14:paraId="38730EC3" w14:textId="77777777" w:rsidR="006D367F" w:rsidRPr="000113B8" w:rsidRDefault="006D367F" w:rsidP="00EC7684">
            <w:pPr>
              <w:ind w:right="51"/>
              <w:jc w:val="center"/>
              <w:rPr>
                <w:rFonts w:ascii="Garamond" w:eastAsia="Batang" w:hAnsi="Garamond" w:cs="Arial"/>
                <w:b/>
                <w:bCs/>
                <w:color w:val="000000" w:themeColor="text1"/>
              </w:rPr>
            </w:pPr>
            <w:r w:rsidRPr="000113B8">
              <w:rPr>
                <w:rFonts w:ascii="Garamond" w:eastAsia="Batang" w:hAnsi="Garamond" w:cs="Arial"/>
                <w:b/>
                <w:bCs/>
                <w:color w:val="000000" w:themeColor="text1"/>
              </w:rPr>
              <w:t>1</w:t>
            </w:r>
          </w:p>
        </w:tc>
        <w:tc>
          <w:tcPr>
            <w:tcW w:w="2867" w:type="pct"/>
            <w:shd w:val="clear" w:color="auto" w:fill="F2F2F2"/>
            <w:noWrap/>
            <w:vAlign w:val="center"/>
            <w:hideMark/>
          </w:tcPr>
          <w:p w14:paraId="310A1CB1" w14:textId="77777777" w:rsidR="006D367F" w:rsidRPr="000113B8" w:rsidRDefault="006D367F" w:rsidP="00EC7684">
            <w:pPr>
              <w:ind w:right="51"/>
              <w:jc w:val="center"/>
              <w:rPr>
                <w:rFonts w:ascii="Garamond" w:eastAsia="Batang" w:hAnsi="Garamond" w:cs="Arial"/>
                <w:bCs/>
                <w:color w:val="000000" w:themeColor="text1"/>
              </w:rPr>
            </w:pPr>
            <w:r w:rsidRPr="000113B8">
              <w:rPr>
                <w:rFonts w:ascii="Garamond" w:eastAsia="Batang" w:hAnsi="Garamond" w:cs="Arial"/>
                <w:bCs/>
                <w:color w:val="000000" w:themeColor="text1"/>
              </w:rPr>
              <w:t>ALLIANZ SEGUROS DE VIDA S.A.</w:t>
            </w:r>
          </w:p>
        </w:tc>
        <w:tc>
          <w:tcPr>
            <w:tcW w:w="779" w:type="pct"/>
            <w:shd w:val="clear" w:color="auto" w:fill="F2F2F2"/>
            <w:noWrap/>
            <w:vAlign w:val="center"/>
          </w:tcPr>
          <w:p w14:paraId="6BFB8193" w14:textId="77777777" w:rsidR="006D367F" w:rsidRPr="000113B8" w:rsidRDefault="006D367F" w:rsidP="00EC7684">
            <w:pPr>
              <w:ind w:right="51"/>
              <w:jc w:val="center"/>
              <w:rPr>
                <w:rFonts w:ascii="Garamond" w:eastAsia="Batang" w:hAnsi="Garamond" w:cs="Arial"/>
                <w:color w:val="000000" w:themeColor="text1"/>
              </w:rPr>
            </w:pPr>
            <w:r w:rsidRPr="000113B8">
              <w:rPr>
                <w:rFonts w:ascii="Garamond" w:hAnsi="Garamond" w:cs="Arial"/>
                <w:color w:val="000000" w:themeColor="text1"/>
              </w:rPr>
              <w:t>860027404-1</w:t>
            </w:r>
          </w:p>
        </w:tc>
        <w:tc>
          <w:tcPr>
            <w:tcW w:w="1058" w:type="pct"/>
            <w:shd w:val="clear" w:color="auto" w:fill="F2F2F2"/>
            <w:vAlign w:val="center"/>
          </w:tcPr>
          <w:p w14:paraId="2AA6C4FD" w14:textId="77777777" w:rsidR="006D367F" w:rsidRPr="000113B8" w:rsidRDefault="006D367F" w:rsidP="00EC7684">
            <w:pPr>
              <w:ind w:right="51"/>
              <w:jc w:val="center"/>
              <w:rPr>
                <w:rFonts w:ascii="Garamond" w:eastAsia="Batang" w:hAnsi="Garamond" w:cs="Arial"/>
                <w:color w:val="000000" w:themeColor="text1"/>
              </w:rPr>
            </w:pPr>
            <w:r w:rsidRPr="000113B8">
              <w:rPr>
                <w:rFonts w:ascii="Garamond" w:hAnsi="Garamond" w:cs="Arial"/>
                <w:color w:val="000000" w:themeColor="text1"/>
              </w:rPr>
              <w:t>Gran Empresa</w:t>
            </w:r>
          </w:p>
        </w:tc>
      </w:tr>
      <w:tr w:rsidR="009A7F8F" w:rsidRPr="000113B8" w14:paraId="1C95CD1C" w14:textId="77777777" w:rsidTr="00EC7684">
        <w:trPr>
          <w:trHeight w:val="276"/>
        </w:trPr>
        <w:tc>
          <w:tcPr>
            <w:tcW w:w="296" w:type="pct"/>
            <w:vMerge/>
            <w:vAlign w:val="center"/>
          </w:tcPr>
          <w:p w14:paraId="5839CB95" w14:textId="77777777" w:rsidR="006D367F" w:rsidRPr="000113B8" w:rsidRDefault="006D367F" w:rsidP="00EC7684">
            <w:pPr>
              <w:ind w:right="51"/>
              <w:jc w:val="center"/>
              <w:rPr>
                <w:rFonts w:ascii="Garamond" w:eastAsia="Batang" w:hAnsi="Garamond" w:cs="Arial"/>
                <w:b/>
                <w:bCs/>
                <w:color w:val="000000" w:themeColor="text1"/>
              </w:rPr>
            </w:pPr>
          </w:p>
        </w:tc>
        <w:tc>
          <w:tcPr>
            <w:tcW w:w="2867" w:type="pct"/>
            <w:noWrap/>
            <w:vAlign w:val="center"/>
          </w:tcPr>
          <w:p w14:paraId="3C43FEF4" w14:textId="77777777" w:rsidR="006D367F" w:rsidRPr="000113B8" w:rsidRDefault="006D367F" w:rsidP="00EC7684">
            <w:pPr>
              <w:ind w:right="51"/>
              <w:jc w:val="center"/>
              <w:rPr>
                <w:rFonts w:ascii="Garamond" w:eastAsia="Batang" w:hAnsi="Garamond" w:cs="Arial"/>
                <w:bCs/>
                <w:color w:val="000000" w:themeColor="text1"/>
              </w:rPr>
            </w:pPr>
            <w:r w:rsidRPr="000113B8">
              <w:rPr>
                <w:rFonts w:ascii="Garamond" w:eastAsia="Batang" w:hAnsi="Garamond" w:cs="Arial"/>
                <w:bCs/>
                <w:color w:val="000000" w:themeColor="text1"/>
              </w:rPr>
              <w:t>ALLIANZ SEGUROS S.A.</w:t>
            </w:r>
          </w:p>
        </w:tc>
        <w:tc>
          <w:tcPr>
            <w:tcW w:w="779" w:type="pct"/>
            <w:noWrap/>
            <w:vAlign w:val="center"/>
          </w:tcPr>
          <w:p w14:paraId="179898BB" w14:textId="77777777" w:rsidR="006D367F" w:rsidRPr="000113B8" w:rsidRDefault="006D367F" w:rsidP="00EC7684">
            <w:pPr>
              <w:ind w:right="51"/>
              <w:jc w:val="center"/>
              <w:rPr>
                <w:rFonts w:ascii="Garamond" w:eastAsia="Batang" w:hAnsi="Garamond" w:cs="Arial"/>
                <w:color w:val="000000" w:themeColor="text1"/>
              </w:rPr>
            </w:pPr>
            <w:r w:rsidRPr="000113B8">
              <w:rPr>
                <w:rFonts w:ascii="Garamond" w:eastAsia="Batang" w:hAnsi="Garamond" w:cs="Arial"/>
                <w:color w:val="000000" w:themeColor="text1"/>
              </w:rPr>
              <w:t>860026182-5</w:t>
            </w:r>
          </w:p>
        </w:tc>
        <w:tc>
          <w:tcPr>
            <w:tcW w:w="1058" w:type="pct"/>
            <w:vAlign w:val="center"/>
          </w:tcPr>
          <w:p w14:paraId="5427F95A" w14:textId="77777777" w:rsidR="006D367F" w:rsidRPr="000113B8" w:rsidRDefault="006D367F" w:rsidP="00EC7684">
            <w:pPr>
              <w:ind w:right="51"/>
              <w:jc w:val="center"/>
              <w:rPr>
                <w:rFonts w:ascii="Garamond" w:eastAsia="Batang" w:hAnsi="Garamond" w:cs="Arial"/>
                <w:color w:val="000000" w:themeColor="text1"/>
              </w:rPr>
            </w:pPr>
            <w:r w:rsidRPr="000113B8">
              <w:rPr>
                <w:rFonts w:ascii="Garamond" w:hAnsi="Garamond" w:cs="Arial"/>
                <w:color w:val="000000" w:themeColor="text1"/>
              </w:rPr>
              <w:t>Gran Empresa</w:t>
            </w:r>
          </w:p>
        </w:tc>
      </w:tr>
      <w:tr w:rsidR="009A7F8F" w:rsidRPr="000113B8" w14:paraId="66065BBE" w14:textId="77777777" w:rsidTr="00EC7684">
        <w:trPr>
          <w:trHeight w:val="276"/>
        </w:trPr>
        <w:tc>
          <w:tcPr>
            <w:tcW w:w="296" w:type="pct"/>
            <w:shd w:val="clear" w:color="auto" w:fill="F2F2F2"/>
            <w:vAlign w:val="center"/>
          </w:tcPr>
          <w:p w14:paraId="39EA75BA" w14:textId="77777777" w:rsidR="006D367F" w:rsidRPr="000113B8" w:rsidRDefault="006D367F" w:rsidP="00EC7684">
            <w:pPr>
              <w:ind w:right="51"/>
              <w:jc w:val="center"/>
              <w:rPr>
                <w:rFonts w:ascii="Garamond" w:eastAsia="Batang" w:hAnsi="Garamond" w:cs="Arial"/>
                <w:b/>
                <w:bCs/>
                <w:color w:val="000000" w:themeColor="text1"/>
              </w:rPr>
            </w:pPr>
            <w:r w:rsidRPr="000113B8">
              <w:rPr>
                <w:rFonts w:ascii="Garamond" w:eastAsia="Batang" w:hAnsi="Garamond" w:cs="Arial"/>
                <w:b/>
                <w:bCs/>
                <w:color w:val="000000" w:themeColor="text1"/>
              </w:rPr>
              <w:t>2</w:t>
            </w:r>
          </w:p>
        </w:tc>
        <w:tc>
          <w:tcPr>
            <w:tcW w:w="2867" w:type="pct"/>
            <w:shd w:val="clear" w:color="auto" w:fill="F2F2F2"/>
            <w:noWrap/>
            <w:vAlign w:val="center"/>
            <w:hideMark/>
          </w:tcPr>
          <w:p w14:paraId="72B33024" w14:textId="77777777" w:rsidR="006D367F" w:rsidRPr="000113B8" w:rsidRDefault="006D367F" w:rsidP="00EC7684">
            <w:pPr>
              <w:ind w:right="51"/>
              <w:jc w:val="center"/>
              <w:rPr>
                <w:rFonts w:ascii="Garamond" w:eastAsia="Batang" w:hAnsi="Garamond" w:cs="Arial"/>
                <w:bCs/>
                <w:color w:val="000000" w:themeColor="text1"/>
              </w:rPr>
            </w:pPr>
            <w:r w:rsidRPr="000113B8">
              <w:rPr>
                <w:rFonts w:ascii="Garamond" w:eastAsia="Batang" w:hAnsi="Garamond" w:cs="Arial"/>
                <w:bCs/>
                <w:color w:val="000000" w:themeColor="text1"/>
              </w:rPr>
              <w:t>ASEGURADORA SOLIDARIA DE COLOMBIA E.C.</w:t>
            </w:r>
          </w:p>
        </w:tc>
        <w:tc>
          <w:tcPr>
            <w:tcW w:w="779" w:type="pct"/>
            <w:shd w:val="clear" w:color="auto" w:fill="F2F2F2"/>
            <w:noWrap/>
            <w:vAlign w:val="center"/>
          </w:tcPr>
          <w:p w14:paraId="5F4AD188" w14:textId="77777777" w:rsidR="006D367F" w:rsidRPr="000113B8" w:rsidRDefault="006D367F" w:rsidP="00EC7684">
            <w:pPr>
              <w:ind w:right="51"/>
              <w:jc w:val="center"/>
              <w:rPr>
                <w:rFonts w:ascii="Garamond" w:eastAsia="Batang" w:hAnsi="Garamond" w:cs="Arial"/>
                <w:color w:val="000000" w:themeColor="text1"/>
              </w:rPr>
            </w:pPr>
            <w:r w:rsidRPr="000113B8">
              <w:rPr>
                <w:rFonts w:ascii="Garamond" w:hAnsi="Garamond" w:cs="Arial"/>
                <w:color w:val="000000" w:themeColor="text1"/>
              </w:rPr>
              <w:t>860524654-6</w:t>
            </w:r>
          </w:p>
        </w:tc>
        <w:tc>
          <w:tcPr>
            <w:tcW w:w="1058" w:type="pct"/>
            <w:shd w:val="clear" w:color="auto" w:fill="F2F2F2"/>
            <w:vAlign w:val="center"/>
          </w:tcPr>
          <w:p w14:paraId="5455435E" w14:textId="77777777" w:rsidR="006D367F" w:rsidRPr="000113B8" w:rsidRDefault="006D367F" w:rsidP="00EC7684">
            <w:pPr>
              <w:ind w:right="51"/>
              <w:jc w:val="center"/>
              <w:rPr>
                <w:rFonts w:ascii="Garamond" w:eastAsia="Batang" w:hAnsi="Garamond" w:cs="Arial"/>
                <w:color w:val="000000" w:themeColor="text1"/>
              </w:rPr>
            </w:pPr>
            <w:r w:rsidRPr="000113B8">
              <w:rPr>
                <w:rFonts w:ascii="Garamond" w:hAnsi="Garamond" w:cs="Arial"/>
                <w:color w:val="000000" w:themeColor="text1"/>
              </w:rPr>
              <w:t>Gran Empresa</w:t>
            </w:r>
          </w:p>
        </w:tc>
      </w:tr>
      <w:tr w:rsidR="009A7F8F" w:rsidRPr="000113B8" w14:paraId="40E9DE50" w14:textId="77777777" w:rsidTr="00EC7684">
        <w:trPr>
          <w:trHeight w:val="276"/>
        </w:trPr>
        <w:tc>
          <w:tcPr>
            <w:tcW w:w="296" w:type="pct"/>
            <w:vMerge w:val="restart"/>
            <w:vAlign w:val="center"/>
          </w:tcPr>
          <w:p w14:paraId="1CFA65C3" w14:textId="77777777" w:rsidR="006D367F" w:rsidRPr="000113B8" w:rsidRDefault="006D367F" w:rsidP="00EC7684">
            <w:pPr>
              <w:ind w:right="51"/>
              <w:jc w:val="center"/>
              <w:rPr>
                <w:rFonts w:ascii="Garamond" w:eastAsia="Batang" w:hAnsi="Garamond" w:cs="Arial"/>
                <w:b/>
                <w:bCs/>
                <w:color w:val="000000" w:themeColor="text1"/>
              </w:rPr>
            </w:pPr>
            <w:r w:rsidRPr="000113B8">
              <w:rPr>
                <w:rFonts w:ascii="Garamond" w:eastAsia="Batang" w:hAnsi="Garamond" w:cs="Arial"/>
                <w:b/>
                <w:bCs/>
                <w:color w:val="000000" w:themeColor="text1"/>
              </w:rPr>
              <w:t>3</w:t>
            </w:r>
          </w:p>
        </w:tc>
        <w:tc>
          <w:tcPr>
            <w:tcW w:w="2867" w:type="pct"/>
            <w:noWrap/>
            <w:vAlign w:val="center"/>
          </w:tcPr>
          <w:p w14:paraId="4D1EA63B" w14:textId="77777777" w:rsidR="006D367F" w:rsidRPr="000113B8" w:rsidRDefault="006D367F" w:rsidP="00EC7684">
            <w:pPr>
              <w:ind w:right="51"/>
              <w:jc w:val="center"/>
              <w:rPr>
                <w:rFonts w:ascii="Garamond" w:eastAsia="Batang" w:hAnsi="Garamond" w:cs="Arial"/>
                <w:bCs/>
                <w:color w:val="000000" w:themeColor="text1"/>
              </w:rPr>
            </w:pPr>
            <w:r w:rsidRPr="000113B8">
              <w:rPr>
                <w:rFonts w:ascii="Garamond" w:hAnsi="Garamond" w:cs="Arial"/>
                <w:bCs/>
                <w:color w:val="000000" w:themeColor="text1"/>
              </w:rPr>
              <w:t>AXA COLPATRIA SEGUROS DE VIDA S.A.</w:t>
            </w:r>
          </w:p>
        </w:tc>
        <w:tc>
          <w:tcPr>
            <w:tcW w:w="779" w:type="pct"/>
            <w:noWrap/>
            <w:vAlign w:val="center"/>
          </w:tcPr>
          <w:p w14:paraId="2BDC0EB6" w14:textId="77777777" w:rsidR="006D367F" w:rsidRPr="000113B8" w:rsidRDefault="006D367F" w:rsidP="00EC7684">
            <w:pPr>
              <w:ind w:right="51"/>
              <w:jc w:val="center"/>
              <w:rPr>
                <w:rFonts w:ascii="Garamond" w:hAnsi="Garamond" w:cs="Arial"/>
                <w:color w:val="000000" w:themeColor="text1"/>
              </w:rPr>
            </w:pPr>
            <w:r w:rsidRPr="000113B8">
              <w:rPr>
                <w:rFonts w:ascii="Garamond" w:hAnsi="Garamond" w:cs="Arial"/>
                <w:color w:val="000000" w:themeColor="text1"/>
              </w:rPr>
              <w:t>860002183-9</w:t>
            </w:r>
          </w:p>
        </w:tc>
        <w:tc>
          <w:tcPr>
            <w:tcW w:w="1058" w:type="pct"/>
            <w:vAlign w:val="center"/>
          </w:tcPr>
          <w:p w14:paraId="342D1776" w14:textId="77777777" w:rsidR="006D367F" w:rsidRPr="000113B8" w:rsidRDefault="006D367F" w:rsidP="00EC7684">
            <w:pPr>
              <w:ind w:right="51"/>
              <w:jc w:val="center"/>
              <w:rPr>
                <w:rFonts w:ascii="Garamond" w:hAnsi="Garamond" w:cs="Arial"/>
                <w:color w:val="000000" w:themeColor="text1"/>
              </w:rPr>
            </w:pPr>
            <w:r w:rsidRPr="000113B8">
              <w:rPr>
                <w:rFonts w:ascii="Garamond" w:hAnsi="Garamond" w:cs="Arial"/>
                <w:color w:val="000000" w:themeColor="text1"/>
              </w:rPr>
              <w:t>Gran Empresa</w:t>
            </w:r>
          </w:p>
        </w:tc>
      </w:tr>
      <w:tr w:rsidR="009A7F8F" w:rsidRPr="000113B8" w14:paraId="165FDE4F" w14:textId="77777777" w:rsidTr="00EC7684">
        <w:trPr>
          <w:trHeight w:val="276"/>
        </w:trPr>
        <w:tc>
          <w:tcPr>
            <w:tcW w:w="296" w:type="pct"/>
            <w:vMerge/>
            <w:shd w:val="clear" w:color="auto" w:fill="F2F2F2"/>
            <w:vAlign w:val="center"/>
          </w:tcPr>
          <w:p w14:paraId="670271BC" w14:textId="77777777" w:rsidR="006D367F" w:rsidRPr="000113B8" w:rsidRDefault="006D367F" w:rsidP="00EC7684">
            <w:pPr>
              <w:ind w:right="51"/>
              <w:jc w:val="center"/>
              <w:rPr>
                <w:rFonts w:ascii="Garamond" w:eastAsia="Batang" w:hAnsi="Garamond" w:cs="Arial"/>
                <w:b/>
                <w:bCs/>
                <w:color w:val="000000" w:themeColor="text1"/>
              </w:rPr>
            </w:pPr>
          </w:p>
        </w:tc>
        <w:tc>
          <w:tcPr>
            <w:tcW w:w="2867" w:type="pct"/>
            <w:shd w:val="clear" w:color="auto" w:fill="F2F2F2"/>
            <w:noWrap/>
            <w:vAlign w:val="center"/>
            <w:hideMark/>
          </w:tcPr>
          <w:p w14:paraId="63D22EDC" w14:textId="77777777" w:rsidR="006D367F" w:rsidRPr="000113B8" w:rsidRDefault="006D367F" w:rsidP="00EC7684">
            <w:pPr>
              <w:ind w:right="51"/>
              <w:jc w:val="center"/>
              <w:rPr>
                <w:rFonts w:ascii="Garamond" w:eastAsia="Batang" w:hAnsi="Garamond" w:cs="Arial"/>
                <w:bCs/>
                <w:color w:val="000000" w:themeColor="text1"/>
                <w:lang w:val="pt-PT"/>
              </w:rPr>
            </w:pPr>
            <w:r w:rsidRPr="000113B8">
              <w:rPr>
                <w:rFonts w:ascii="Garamond" w:eastAsia="Batang" w:hAnsi="Garamond" w:cs="Arial"/>
                <w:bCs/>
                <w:color w:val="000000" w:themeColor="text1"/>
                <w:lang w:val="pt-PT"/>
              </w:rPr>
              <w:t>AXA COLPATRIA SEGUROS S.A.</w:t>
            </w:r>
          </w:p>
        </w:tc>
        <w:tc>
          <w:tcPr>
            <w:tcW w:w="779" w:type="pct"/>
            <w:shd w:val="clear" w:color="auto" w:fill="F2F2F2"/>
            <w:noWrap/>
            <w:vAlign w:val="center"/>
          </w:tcPr>
          <w:p w14:paraId="115C878A" w14:textId="77777777" w:rsidR="006D367F" w:rsidRPr="000113B8" w:rsidRDefault="006D367F" w:rsidP="00EC7684">
            <w:pPr>
              <w:ind w:right="51"/>
              <w:jc w:val="center"/>
              <w:rPr>
                <w:rFonts w:ascii="Garamond" w:eastAsia="Batang" w:hAnsi="Garamond" w:cs="Arial"/>
                <w:color w:val="000000" w:themeColor="text1"/>
              </w:rPr>
            </w:pPr>
            <w:r w:rsidRPr="000113B8">
              <w:rPr>
                <w:rFonts w:ascii="Garamond" w:hAnsi="Garamond" w:cs="Arial"/>
                <w:color w:val="000000" w:themeColor="text1"/>
              </w:rPr>
              <w:t>860002184-6</w:t>
            </w:r>
          </w:p>
        </w:tc>
        <w:tc>
          <w:tcPr>
            <w:tcW w:w="1058" w:type="pct"/>
            <w:shd w:val="clear" w:color="auto" w:fill="F2F2F2"/>
            <w:vAlign w:val="center"/>
          </w:tcPr>
          <w:p w14:paraId="25C875E7" w14:textId="77777777" w:rsidR="006D367F" w:rsidRPr="000113B8" w:rsidRDefault="006D367F" w:rsidP="00EC7684">
            <w:pPr>
              <w:ind w:right="51"/>
              <w:jc w:val="center"/>
              <w:rPr>
                <w:rFonts w:ascii="Garamond" w:eastAsia="Batang" w:hAnsi="Garamond" w:cs="Arial"/>
                <w:color w:val="000000" w:themeColor="text1"/>
              </w:rPr>
            </w:pPr>
            <w:r w:rsidRPr="000113B8">
              <w:rPr>
                <w:rFonts w:ascii="Garamond" w:hAnsi="Garamond" w:cs="Arial"/>
                <w:color w:val="000000" w:themeColor="text1"/>
              </w:rPr>
              <w:t>Gran Empresa</w:t>
            </w:r>
          </w:p>
        </w:tc>
      </w:tr>
      <w:tr w:rsidR="009A7F8F" w:rsidRPr="000113B8" w14:paraId="0FBD76A3" w14:textId="77777777" w:rsidTr="00EC7684">
        <w:trPr>
          <w:trHeight w:val="276"/>
        </w:trPr>
        <w:tc>
          <w:tcPr>
            <w:tcW w:w="296" w:type="pct"/>
            <w:vAlign w:val="center"/>
          </w:tcPr>
          <w:p w14:paraId="76E049CC" w14:textId="77777777" w:rsidR="006D367F" w:rsidRPr="000113B8" w:rsidRDefault="006D367F" w:rsidP="00EC7684">
            <w:pPr>
              <w:ind w:right="51"/>
              <w:jc w:val="center"/>
              <w:rPr>
                <w:rFonts w:ascii="Garamond" w:eastAsia="Batang" w:hAnsi="Garamond" w:cs="Arial"/>
                <w:b/>
                <w:bCs/>
                <w:color w:val="000000" w:themeColor="text1"/>
              </w:rPr>
            </w:pPr>
            <w:r w:rsidRPr="000113B8">
              <w:rPr>
                <w:rFonts w:ascii="Garamond" w:eastAsia="Batang" w:hAnsi="Garamond" w:cs="Arial"/>
                <w:b/>
                <w:bCs/>
                <w:color w:val="000000" w:themeColor="text1"/>
              </w:rPr>
              <w:t>4</w:t>
            </w:r>
          </w:p>
        </w:tc>
        <w:tc>
          <w:tcPr>
            <w:tcW w:w="2867" w:type="pct"/>
            <w:noWrap/>
            <w:vAlign w:val="center"/>
            <w:hideMark/>
          </w:tcPr>
          <w:p w14:paraId="157C13CB" w14:textId="77777777" w:rsidR="006D367F" w:rsidRPr="000113B8" w:rsidRDefault="006D367F" w:rsidP="00EC7684">
            <w:pPr>
              <w:ind w:right="51"/>
              <w:jc w:val="center"/>
              <w:rPr>
                <w:rFonts w:ascii="Garamond" w:eastAsia="Batang" w:hAnsi="Garamond" w:cs="Arial"/>
                <w:bCs/>
                <w:color w:val="000000" w:themeColor="text1"/>
              </w:rPr>
            </w:pPr>
            <w:r w:rsidRPr="000113B8">
              <w:rPr>
                <w:rFonts w:ascii="Garamond" w:eastAsia="Batang" w:hAnsi="Garamond" w:cs="Arial"/>
                <w:bCs/>
                <w:color w:val="000000" w:themeColor="text1"/>
              </w:rPr>
              <w:t>BMI COLOMBIA COMPAÑIA DE SEGUROS DE VIDA S.A.</w:t>
            </w:r>
          </w:p>
        </w:tc>
        <w:tc>
          <w:tcPr>
            <w:tcW w:w="779" w:type="pct"/>
            <w:noWrap/>
            <w:vAlign w:val="center"/>
          </w:tcPr>
          <w:p w14:paraId="54100FD0" w14:textId="77777777" w:rsidR="006D367F" w:rsidRPr="000113B8" w:rsidRDefault="006D367F" w:rsidP="00EC7684">
            <w:pPr>
              <w:ind w:right="51"/>
              <w:jc w:val="center"/>
              <w:rPr>
                <w:rFonts w:ascii="Garamond" w:eastAsia="Batang" w:hAnsi="Garamond" w:cs="Arial"/>
                <w:color w:val="000000" w:themeColor="text1"/>
              </w:rPr>
            </w:pPr>
            <w:r w:rsidRPr="000113B8">
              <w:rPr>
                <w:rFonts w:ascii="Garamond" w:hAnsi="Garamond" w:cs="Arial"/>
                <w:color w:val="000000" w:themeColor="text1"/>
              </w:rPr>
              <w:t>901061386-7</w:t>
            </w:r>
          </w:p>
        </w:tc>
        <w:tc>
          <w:tcPr>
            <w:tcW w:w="1058" w:type="pct"/>
            <w:vAlign w:val="center"/>
          </w:tcPr>
          <w:p w14:paraId="073B79D4" w14:textId="77777777" w:rsidR="006D367F" w:rsidRPr="000113B8" w:rsidRDefault="006D367F" w:rsidP="00EC7684">
            <w:pPr>
              <w:ind w:right="51"/>
              <w:jc w:val="center"/>
              <w:rPr>
                <w:rFonts w:ascii="Garamond" w:eastAsia="Batang" w:hAnsi="Garamond" w:cs="Arial"/>
                <w:color w:val="000000" w:themeColor="text1"/>
              </w:rPr>
            </w:pPr>
            <w:r w:rsidRPr="000113B8">
              <w:rPr>
                <w:rFonts w:ascii="Garamond" w:hAnsi="Garamond" w:cs="Arial"/>
                <w:color w:val="000000" w:themeColor="text1"/>
              </w:rPr>
              <w:t>Gran Empresa</w:t>
            </w:r>
          </w:p>
        </w:tc>
      </w:tr>
      <w:tr w:rsidR="009A7F8F" w:rsidRPr="000113B8" w14:paraId="64C92721" w14:textId="77777777" w:rsidTr="00EC7684">
        <w:trPr>
          <w:trHeight w:val="276"/>
        </w:trPr>
        <w:tc>
          <w:tcPr>
            <w:tcW w:w="296" w:type="pct"/>
            <w:shd w:val="clear" w:color="auto" w:fill="F2F2F2"/>
            <w:vAlign w:val="center"/>
          </w:tcPr>
          <w:p w14:paraId="727CFCAA" w14:textId="77777777" w:rsidR="006D367F" w:rsidRPr="000113B8" w:rsidRDefault="006D367F" w:rsidP="00EC7684">
            <w:pPr>
              <w:ind w:right="51"/>
              <w:jc w:val="center"/>
              <w:rPr>
                <w:rFonts w:ascii="Garamond" w:eastAsia="Batang" w:hAnsi="Garamond" w:cs="Arial"/>
                <w:b/>
                <w:bCs/>
                <w:color w:val="000000" w:themeColor="text1"/>
              </w:rPr>
            </w:pPr>
            <w:r w:rsidRPr="000113B8">
              <w:rPr>
                <w:rFonts w:ascii="Garamond" w:eastAsia="Batang" w:hAnsi="Garamond" w:cs="Arial"/>
                <w:b/>
                <w:bCs/>
                <w:color w:val="000000" w:themeColor="text1"/>
              </w:rPr>
              <w:t>5</w:t>
            </w:r>
          </w:p>
        </w:tc>
        <w:tc>
          <w:tcPr>
            <w:tcW w:w="2867" w:type="pct"/>
            <w:shd w:val="clear" w:color="auto" w:fill="F2F2F2"/>
            <w:noWrap/>
            <w:vAlign w:val="center"/>
            <w:hideMark/>
          </w:tcPr>
          <w:p w14:paraId="3FF60177" w14:textId="77777777" w:rsidR="006D367F" w:rsidRPr="000113B8" w:rsidRDefault="006D367F" w:rsidP="00EC7684">
            <w:pPr>
              <w:ind w:right="51"/>
              <w:jc w:val="center"/>
              <w:rPr>
                <w:rFonts w:ascii="Garamond" w:eastAsia="Batang" w:hAnsi="Garamond" w:cs="Arial"/>
                <w:bCs/>
                <w:color w:val="000000" w:themeColor="text1"/>
              </w:rPr>
            </w:pPr>
            <w:r w:rsidRPr="000113B8">
              <w:rPr>
                <w:rFonts w:ascii="Garamond" w:eastAsia="Batang" w:hAnsi="Garamond" w:cs="Arial"/>
                <w:bCs/>
                <w:color w:val="000000" w:themeColor="text1"/>
              </w:rPr>
              <w:t>CHUBB SEGUROS COLOMBIA S.A.</w:t>
            </w:r>
          </w:p>
        </w:tc>
        <w:tc>
          <w:tcPr>
            <w:tcW w:w="779" w:type="pct"/>
            <w:shd w:val="clear" w:color="auto" w:fill="F2F2F2"/>
            <w:noWrap/>
            <w:vAlign w:val="center"/>
          </w:tcPr>
          <w:p w14:paraId="5BA307DF" w14:textId="77777777" w:rsidR="006D367F" w:rsidRPr="000113B8" w:rsidRDefault="006D367F" w:rsidP="00EC7684">
            <w:pPr>
              <w:ind w:right="51"/>
              <w:jc w:val="center"/>
              <w:rPr>
                <w:rFonts w:ascii="Garamond" w:eastAsia="Batang" w:hAnsi="Garamond" w:cs="Arial"/>
                <w:color w:val="000000" w:themeColor="text1"/>
              </w:rPr>
            </w:pPr>
            <w:r w:rsidRPr="000113B8">
              <w:rPr>
                <w:rFonts w:ascii="Garamond" w:hAnsi="Garamond" w:cs="Arial"/>
                <w:color w:val="000000" w:themeColor="text1"/>
              </w:rPr>
              <w:t>860026518-6</w:t>
            </w:r>
          </w:p>
        </w:tc>
        <w:tc>
          <w:tcPr>
            <w:tcW w:w="1058" w:type="pct"/>
            <w:shd w:val="clear" w:color="auto" w:fill="F2F2F2"/>
            <w:vAlign w:val="center"/>
          </w:tcPr>
          <w:p w14:paraId="1871E775" w14:textId="77777777" w:rsidR="006D367F" w:rsidRPr="000113B8" w:rsidRDefault="006D367F" w:rsidP="00EC7684">
            <w:pPr>
              <w:ind w:right="51"/>
              <w:jc w:val="center"/>
              <w:rPr>
                <w:rFonts w:ascii="Garamond" w:eastAsia="Batang" w:hAnsi="Garamond" w:cs="Arial"/>
                <w:color w:val="000000" w:themeColor="text1"/>
              </w:rPr>
            </w:pPr>
            <w:r w:rsidRPr="000113B8">
              <w:rPr>
                <w:rFonts w:ascii="Garamond" w:hAnsi="Garamond" w:cs="Arial"/>
                <w:color w:val="000000" w:themeColor="text1"/>
              </w:rPr>
              <w:t>Gran Empresa</w:t>
            </w:r>
          </w:p>
        </w:tc>
      </w:tr>
      <w:tr w:rsidR="009A7F8F" w:rsidRPr="000113B8" w14:paraId="2E9BE531" w14:textId="77777777" w:rsidTr="00EC7684">
        <w:trPr>
          <w:trHeight w:val="276"/>
        </w:trPr>
        <w:tc>
          <w:tcPr>
            <w:tcW w:w="296" w:type="pct"/>
            <w:vAlign w:val="center"/>
          </w:tcPr>
          <w:p w14:paraId="13EEFC9A" w14:textId="77777777" w:rsidR="006D367F" w:rsidRPr="000113B8" w:rsidRDefault="006D367F" w:rsidP="00EC7684">
            <w:pPr>
              <w:ind w:right="51"/>
              <w:jc w:val="center"/>
              <w:rPr>
                <w:rFonts w:ascii="Garamond" w:eastAsia="Batang" w:hAnsi="Garamond" w:cs="Arial"/>
                <w:b/>
                <w:bCs/>
                <w:color w:val="000000" w:themeColor="text1"/>
              </w:rPr>
            </w:pPr>
            <w:r w:rsidRPr="000113B8">
              <w:rPr>
                <w:rFonts w:ascii="Garamond" w:eastAsia="Batang" w:hAnsi="Garamond" w:cs="Arial"/>
                <w:b/>
                <w:bCs/>
                <w:color w:val="000000" w:themeColor="text1"/>
              </w:rPr>
              <w:t>6</w:t>
            </w:r>
          </w:p>
        </w:tc>
        <w:tc>
          <w:tcPr>
            <w:tcW w:w="2867" w:type="pct"/>
            <w:noWrap/>
            <w:vAlign w:val="center"/>
          </w:tcPr>
          <w:p w14:paraId="525D4ABB" w14:textId="77777777" w:rsidR="006D367F" w:rsidRPr="000113B8" w:rsidRDefault="006D367F" w:rsidP="00EC7684">
            <w:pPr>
              <w:ind w:right="51"/>
              <w:jc w:val="center"/>
              <w:rPr>
                <w:rFonts w:ascii="Garamond" w:eastAsia="Batang" w:hAnsi="Garamond" w:cs="Arial"/>
                <w:bCs/>
                <w:color w:val="000000" w:themeColor="text1"/>
              </w:rPr>
            </w:pPr>
            <w:r w:rsidRPr="000113B8">
              <w:rPr>
                <w:rFonts w:ascii="Garamond" w:eastAsia="Batang" w:hAnsi="Garamond" w:cs="Arial"/>
                <w:bCs/>
                <w:color w:val="000000" w:themeColor="text1"/>
              </w:rPr>
              <w:t>COMPAÑIA ASEGURADORA DE FIANZAS S.A. (SEGUROS CONFIANZA S.A.)</w:t>
            </w:r>
          </w:p>
        </w:tc>
        <w:tc>
          <w:tcPr>
            <w:tcW w:w="779" w:type="pct"/>
            <w:noWrap/>
            <w:vAlign w:val="center"/>
          </w:tcPr>
          <w:p w14:paraId="6008B6E8" w14:textId="77777777" w:rsidR="006D367F" w:rsidRPr="000113B8" w:rsidRDefault="006D367F" w:rsidP="00EC7684">
            <w:pPr>
              <w:ind w:right="51"/>
              <w:jc w:val="center"/>
              <w:rPr>
                <w:rFonts w:ascii="Garamond" w:hAnsi="Garamond" w:cs="Arial"/>
                <w:color w:val="000000" w:themeColor="text1"/>
              </w:rPr>
            </w:pPr>
            <w:r w:rsidRPr="000113B8">
              <w:rPr>
                <w:rFonts w:ascii="Garamond" w:hAnsi="Garamond" w:cs="Arial"/>
                <w:color w:val="000000" w:themeColor="text1"/>
              </w:rPr>
              <w:t>860070374-9</w:t>
            </w:r>
          </w:p>
        </w:tc>
        <w:tc>
          <w:tcPr>
            <w:tcW w:w="1058" w:type="pct"/>
            <w:vAlign w:val="center"/>
          </w:tcPr>
          <w:p w14:paraId="495DCD5B" w14:textId="77777777" w:rsidR="006D367F" w:rsidRPr="000113B8" w:rsidRDefault="006D367F" w:rsidP="00EC7684">
            <w:pPr>
              <w:ind w:right="51"/>
              <w:jc w:val="center"/>
              <w:rPr>
                <w:rFonts w:ascii="Garamond" w:hAnsi="Garamond" w:cs="Arial"/>
                <w:color w:val="000000" w:themeColor="text1"/>
              </w:rPr>
            </w:pPr>
            <w:r w:rsidRPr="000113B8">
              <w:rPr>
                <w:rFonts w:ascii="Garamond" w:hAnsi="Garamond" w:cs="Arial"/>
                <w:color w:val="000000" w:themeColor="text1"/>
              </w:rPr>
              <w:t>Gran Empresa</w:t>
            </w:r>
          </w:p>
        </w:tc>
      </w:tr>
      <w:tr w:rsidR="009A7F8F" w:rsidRPr="000113B8" w14:paraId="03961AAC" w14:textId="77777777" w:rsidTr="00EC7684">
        <w:trPr>
          <w:trHeight w:val="276"/>
        </w:trPr>
        <w:tc>
          <w:tcPr>
            <w:tcW w:w="296" w:type="pct"/>
            <w:shd w:val="clear" w:color="auto" w:fill="F2F2F2"/>
            <w:vAlign w:val="center"/>
          </w:tcPr>
          <w:p w14:paraId="2DB44711" w14:textId="77777777" w:rsidR="006D367F" w:rsidRPr="000113B8" w:rsidRDefault="006D367F" w:rsidP="00EC7684">
            <w:pPr>
              <w:ind w:right="51"/>
              <w:jc w:val="center"/>
              <w:rPr>
                <w:rFonts w:ascii="Garamond" w:eastAsia="Batang" w:hAnsi="Garamond" w:cs="Arial"/>
                <w:b/>
                <w:bCs/>
                <w:color w:val="000000" w:themeColor="text1"/>
              </w:rPr>
            </w:pPr>
            <w:r w:rsidRPr="000113B8">
              <w:rPr>
                <w:rFonts w:ascii="Garamond" w:eastAsia="Batang" w:hAnsi="Garamond" w:cs="Arial"/>
                <w:b/>
                <w:bCs/>
                <w:color w:val="000000" w:themeColor="text1"/>
              </w:rPr>
              <w:t>7</w:t>
            </w:r>
          </w:p>
        </w:tc>
        <w:tc>
          <w:tcPr>
            <w:tcW w:w="2867" w:type="pct"/>
            <w:shd w:val="clear" w:color="auto" w:fill="F2F2F2"/>
            <w:noWrap/>
            <w:vAlign w:val="center"/>
          </w:tcPr>
          <w:p w14:paraId="78172ED7" w14:textId="77777777" w:rsidR="006D367F" w:rsidRPr="000113B8" w:rsidRDefault="006D367F" w:rsidP="00EC7684">
            <w:pPr>
              <w:ind w:right="51"/>
              <w:jc w:val="center"/>
              <w:rPr>
                <w:rFonts w:ascii="Garamond" w:eastAsia="Batang" w:hAnsi="Garamond" w:cs="Arial"/>
                <w:bCs/>
                <w:color w:val="000000" w:themeColor="text1"/>
              </w:rPr>
            </w:pPr>
            <w:r w:rsidRPr="000113B8">
              <w:rPr>
                <w:rFonts w:ascii="Garamond" w:eastAsia="Batang" w:hAnsi="Garamond" w:cs="Arial"/>
                <w:bCs/>
                <w:color w:val="000000" w:themeColor="text1"/>
              </w:rPr>
              <w:t>COMPAÑÍA DE SEGUROS DE VIDA AURORA S.A.</w:t>
            </w:r>
          </w:p>
        </w:tc>
        <w:tc>
          <w:tcPr>
            <w:tcW w:w="779" w:type="pct"/>
            <w:shd w:val="clear" w:color="auto" w:fill="F2F2F2"/>
            <w:noWrap/>
            <w:vAlign w:val="center"/>
          </w:tcPr>
          <w:p w14:paraId="2C6CDBE0" w14:textId="77777777" w:rsidR="006D367F" w:rsidRPr="000113B8" w:rsidRDefault="006D367F" w:rsidP="00EC7684">
            <w:pPr>
              <w:ind w:right="51"/>
              <w:jc w:val="center"/>
              <w:rPr>
                <w:rFonts w:ascii="Garamond" w:eastAsia="Batang" w:hAnsi="Garamond" w:cs="Arial"/>
                <w:color w:val="000000" w:themeColor="text1"/>
              </w:rPr>
            </w:pPr>
            <w:r w:rsidRPr="000113B8">
              <w:rPr>
                <w:rFonts w:ascii="Garamond" w:hAnsi="Garamond" w:cs="Arial"/>
                <w:color w:val="000000" w:themeColor="text1"/>
              </w:rPr>
              <w:t>860022137-5</w:t>
            </w:r>
          </w:p>
        </w:tc>
        <w:tc>
          <w:tcPr>
            <w:tcW w:w="1058" w:type="pct"/>
            <w:shd w:val="clear" w:color="auto" w:fill="F2F2F2"/>
            <w:vAlign w:val="center"/>
          </w:tcPr>
          <w:p w14:paraId="673BFE42" w14:textId="77777777" w:rsidR="006D367F" w:rsidRPr="000113B8" w:rsidRDefault="006D367F" w:rsidP="00EC7684">
            <w:pPr>
              <w:ind w:right="51"/>
              <w:jc w:val="center"/>
              <w:rPr>
                <w:rFonts w:ascii="Garamond" w:eastAsia="Batang" w:hAnsi="Garamond" w:cs="Arial"/>
                <w:color w:val="000000" w:themeColor="text1"/>
              </w:rPr>
            </w:pPr>
            <w:r w:rsidRPr="000113B8">
              <w:rPr>
                <w:rFonts w:ascii="Garamond" w:hAnsi="Garamond" w:cs="Arial"/>
                <w:color w:val="000000" w:themeColor="text1"/>
              </w:rPr>
              <w:t>Gran Empresa</w:t>
            </w:r>
          </w:p>
        </w:tc>
      </w:tr>
      <w:tr w:rsidR="009A7F8F" w:rsidRPr="000113B8" w14:paraId="44EEAFF5" w14:textId="77777777" w:rsidTr="00EC7684">
        <w:trPr>
          <w:trHeight w:val="276"/>
        </w:trPr>
        <w:tc>
          <w:tcPr>
            <w:tcW w:w="296" w:type="pct"/>
            <w:vAlign w:val="center"/>
          </w:tcPr>
          <w:p w14:paraId="3089F328" w14:textId="77777777" w:rsidR="006D367F" w:rsidRPr="000113B8" w:rsidRDefault="006D367F" w:rsidP="00EC7684">
            <w:pPr>
              <w:ind w:right="51"/>
              <w:jc w:val="center"/>
              <w:rPr>
                <w:rFonts w:ascii="Garamond" w:eastAsia="Batang" w:hAnsi="Garamond" w:cs="Arial"/>
                <w:b/>
                <w:bCs/>
                <w:color w:val="000000" w:themeColor="text1"/>
              </w:rPr>
            </w:pPr>
            <w:r w:rsidRPr="000113B8">
              <w:rPr>
                <w:rFonts w:ascii="Garamond" w:eastAsia="Batang" w:hAnsi="Garamond" w:cs="Arial"/>
                <w:b/>
                <w:bCs/>
                <w:color w:val="000000" w:themeColor="text1"/>
              </w:rPr>
              <w:t>8</w:t>
            </w:r>
          </w:p>
        </w:tc>
        <w:tc>
          <w:tcPr>
            <w:tcW w:w="2867" w:type="pct"/>
            <w:noWrap/>
            <w:vAlign w:val="center"/>
            <w:hideMark/>
          </w:tcPr>
          <w:p w14:paraId="374201A0" w14:textId="77777777" w:rsidR="006D367F" w:rsidRPr="000113B8" w:rsidRDefault="006D367F" w:rsidP="00EC7684">
            <w:pPr>
              <w:ind w:right="51"/>
              <w:jc w:val="center"/>
              <w:rPr>
                <w:rFonts w:ascii="Garamond" w:eastAsia="Batang" w:hAnsi="Garamond" w:cs="Arial"/>
                <w:bCs/>
                <w:color w:val="000000" w:themeColor="text1"/>
              </w:rPr>
            </w:pPr>
            <w:r w:rsidRPr="000113B8">
              <w:rPr>
                <w:rFonts w:ascii="Garamond" w:eastAsia="Batang" w:hAnsi="Garamond" w:cs="Arial"/>
                <w:bCs/>
                <w:color w:val="000000" w:themeColor="text1"/>
              </w:rPr>
              <w:t>COMPAÑÍA MUNDIAL DE SEGUROS S.A.</w:t>
            </w:r>
          </w:p>
        </w:tc>
        <w:tc>
          <w:tcPr>
            <w:tcW w:w="779" w:type="pct"/>
            <w:noWrap/>
            <w:vAlign w:val="center"/>
          </w:tcPr>
          <w:p w14:paraId="7A452486" w14:textId="77777777" w:rsidR="006D367F" w:rsidRPr="000113B8" w:rsidRDefault="006D367F" w:rsidP="00EC7684">
            <w:pPr>
              <w:ind w:right="51"/>
              <w:jc w:val="center"/>
              <w:rPr>
                <w:rFonts w:ascii="Garamond" w:eastAsia="Batang" w:hAnsi="Garamond" w:cs="Arial"/>
                <w:color w:val="000000" w:themeColor="text1"/>
              </w:rPr>
            </w:pPr>
            <w:r w:rsidRPr="000113B8">
              <w:rPr>
                <w:rFonts w:ascii="Garamond" w:hAnsi="Garamond" w:cs="Arial"/>
                <w:color w:val="000000" w:themeColor="text1"/>
              </w:rPr>
              <w:t>860037013-6</w:t>
            </w:r>
          </w:p>
        </w:tc>
        <w:tc>
          <w:tcPr>
            <w:tcW w:w="1058" w:type="pct"/>
            <w:vAlign w:val="center"/>
          </w:tcPr>
          <w:p w14:paraId="49971ADF" w14:textId="77777777" w:rsidR="006D367F" w:rsidRPr="000113B8" w:rsidRDefault="006D367F" w:rsidP="00EC7684">
            <w:pPr>
              <w:ind w:right="51"/>
              <w:jc w:val="center"/>
              <w:rPr>
                <w:rFonts w:ascii="Garamond" w:eastAsia="Batang" w:hAnsi="Garamond" w:cs="Arial"/>
                <w:color w:val="000000" w:themeColor="text1"/>
              </w:rPr>
            </w:pPr>
            <w:r w:rsidRPr="000113B8">
              <w:rPr>
                <w:rFonts w:ascii="Garamond" w:hAnsi="Garamond" w:cs="Arial"/>
                <w:color w:val="000000" w:themeColor="text1"/>
              </w:rPr>
              <w:t>Gran Empresa</w:t>
            </w:r>
          </w:p>
        </w:tc>
      </w:tr>
      <w:tr w:rsidR="009A7F8F" w:rsidRPr="000113B8" w14:paraId="1A0F4983" w14:textId="77777777" w:rsidTr="00EC7684">
        <w:trPr>
          <w:trHeight w:val="276"/>
        </w:trPr>
        <w:tc>
          <w:tcPr>
            <w:tcW w:w="296" w:type="pct"/>
            <w:shd w:val="clear" w:color="auto" w:fill="F2F2F2"/>
            <w:vAlign w:val="center"/>
          </w:tcPr>
          <w:p w14:paraId="13E126C5" w14:textId="77777777" w:rsidR="006D367F" w:rsidRPr="000113B8" w:rsidRDefault="006D367F" w:rsidP="00EC7684">
            <w:pPr>
              <w:ind w:right="51"/>
              <w:jc w:val="center"/>
              <w:rPr>
                <w:rFonts w:ascii="Garamond" w:eastAsia="Batang" w:hAnsi="Garamond" w:cs="Arial"/>
                <w:b/>
                <w:bCs/>
                <w:color w:val="000000" w:themeColor="text1"/>
              </w:rPr>
            </w:pPr>
            <w:r w:rsidRPr="000113B8">
              <w:rPr>
                <w:rFonts w:ascii="Garamond" w:eastAsia="Batang" w:hAnsi="Garamond" w:cs="Arial"/>
                <w:b/>
                <w:bCs/>
                <w:color w:val="000000" w:themeColor="text1"/>
              </w:rPr>
              <w:t>9</w:t>
            </w:r>
          </w:p>
        </w:tc>
        <w:tc>
          <w:tcPr>
            <w:tcW w:w="2867" w:type="pct"/>
            <w:shd w:val="clear" w:color="auto" w:fill="F2F2F2"/>
            <w:noWrap/>
            <w:vAlign w:val="center"/>
            <w:hideMark/>
          </w:tcPr>
          <w:p w14:paraId="3F990219" w14:textId="77777777" w:rsidR="006D367F" w:rsidRPr="000113B8" w:rsidRDefault="006D367F" w:rsidP="00EC7684">
            <w:pPr>
              <w:ind w:right="51"/>
              <w:jc w:val="center"/>
              <w:rPr>
                <w:rFonts w:ascii="Garamond" w:eastAsia="Batang" w:hAnsi="Garamond" w:cs="Arial"/>
                <w:bCs/>
                <w:color w:val="000000" w:themeColor="text1"/>
              </w:rPr>
            </w:pPr>
            <w:r w:rsidRPr="000113B8">
              <w:rPr>
                <w:rFonts w:ascii="Garamond" w:eastAsia="Batang" w:hAnsi="Garamond" w:cs="Arial"/>
                <w:bCs/>
                <w:color w:val="000000" w:themeColor="text1"/>
              </w:rPr>
              <w:t>HDI SEGUROS COLOMBIA S.A.</w:t>
            </w:r>
          </w:p>
        </w:tc>
        <w:tc>
          <w:tcPr>
            <w:tcW w:w="779" w:type="pct"/>
            <w:shd w:val="clear" w:color="auto" w:fill="F2F2F2"/>
            <w:noWrap/>
            <w:vAlign w:val="center"/>
          </w:tcPr>
          <w:p w14:paraId="6BF24B33" w14:textId="77777777" w:rsidR="006D367F" w:rsidRPr="000113B8" w:rsidRDefault="006D367F" w:rsidP="00EC7684">
            <w:pPr>
              <w:ind w:right="51"/>
              <w:jc w:val="center"/>
              <w:rPr>
                <w:rFonts w:ascii="Garamond" w:eastAsia="Batang" w:hAnsi="Garamond" w:cs="Arial"/>
                <w:color w:val="000000" w:themeColor="text1"/>
              </w:rPr>
            </w:pPr>
            <w:r w:rsidRPr="000113B8">
              <w:rPr>
                <w:rFonts w:ascii="Garamond" w:hAnsi="Garamond" w:cs="Arial"/>
                <w:color w:val="000000" w:themeColor="text1"/>
              </w:rPr>
              <w:t>860039988-0</w:t>
            </w:r>
          </w:p>
        </w:tc>
        <w:tc>
          <w:tcPr>
            <w:tcW w:w="1058" w:type="pct"/>
            <w:shd w:val="clear" w:color="auto" w:fill="F2F2F2"/>
            <w:vAlign w:val="center"/>
          </w:tcPr>
          <w:p w14:paraId="493BE6BA" w14:textId="77777777" w:rsidR="006D367F" w:rsidRPr="000113B8" w:rsidRDefault="006D367F" w:rsidP="00EC7684">
            <w:pPr>
              <w:ind w:right="51"/>
              <w:jc w:val="center"/>
              <w:rPr>
                <w:rFonts w:ascii="Garamond" w:eastAsia="Batang" w:hAnsi="Garamond" w:cs="Arial"/>
                <w:color w:val="000000" w:themeColor="text1"/>
              </w:rPr>
            </w:pPr>
            <w:r w:rsidRPr="000113B8">
              <w:rPr>
                <w:rFonts w:ascii="Garamond" w:hAnsi="Garamond" w:cs="Arial"/>
                <w:color w:val="000000" w:themeColor="text1"/>
              </w:rPr>
              <w:t>Gran Empresa</w:t>
            </w:r>
          </w:p>
        </w:tc>
      </w:tr>
      <w:tr w:rsidR="009A7F8F" w:rsidRPr="000113B8" w14:paraId="537F7EAB" w14:textId="77777777" w:rsidTr="00EC7684">
        <w:trPr>
          <w:trHeight w:val="276"/>
        </w:trPr>
        <w:tc>
          <w:tcPr>
            <w:tcW w:w="296" w:type="pct"/>
            <w:vAlign w:val="center"/>
          </w:tcPr>
          <w:p w14:paraId="5783D532" w14:textId="77777777" w:rsidR="006D367F" w:rsidRPr="000113B8" w:rsidRDefault="006D367F" w:rsidP="00EC7684">
            <w:pPr>
              <w:ind w:right="51"/>
              <w:jc w:val="center"/>
              <w:rPr>
                <w:rFonts w:ascii="Garamond" w:eastAsia="Batang" w:hAnsi="Garamond" w:cs="Arial"/>
                <w:b/>
                <w:bCs/>
                <w:color w:val="000000" w:themeColor="text1"/>
              </w:rPr>
            </w:pPr>
            <w:r w:rsidRPr="000113B8">
              <w:rPr>
                <w:rFonts w:ascii="Garamond" w:eastAsia="Batang" w:hAnsi="Garamond" w:cs="Arial"/>
                <w:b/>
                <w:bCs/>
                <w:color w:val="000000" w:themeColor="text1"/>
              </w:rPr>
              <w:t>10</w:t>
            </w:r>
          </w:p>
        </w:tc>
        <w:tc>
          <w:tcPr>
            <w:tcW w:w="2867" w:type="pct"/>
            <w:noWrap/>
            <w:vAlign w:val="center"/>
          </w:tcPr>
          <w:p w14:paraId="7796B840" w14:textId="77777777" w:rsidR="006D367F" w:rsidRPr="000113B8" w:rsidRDefault="006D367F" w:rsidP="00EC7684">
            <w:pPr>
              <w:ind w:right="51"/>
              <w:jc w:val="center"/>
              <w:rPr>
                <w:rFonts w:ascii="Garamond" w:eastAsia="Batang" w:hAnsi="Garamond" w:cs="Arial"/>
                <w:bCs/>
                <w:color w:val="000000" w:themeColor="text1"/>
              </w:rPr>
            </w:pPr>
            <w:r w:rsidRPr="000113B8">
              <w:rPr>
                <w:rFonts w:ascii="Garamond" w:eastAsia="Batang" w:hAnsi="Garamond" w:cs="Arial"/>
                <w:bCs/>
                <w:color w:val="000000" w:themeColor="text1"/>
              </w:rPr>
              <w:t>LA PREVISORA S.A. COMPAÑÍA DE SEGUROS</w:t>
            </w:r>
          </w:p>
        </w:tc>
        <w:tc>
          <w:tcPr>
            <w:tcW w:w="779" w:type="pct"/>
            <w:noWrap/>
            <w:vAlign w:val="center"/>
          </w:tcPr>
          <w:p w14:paraId="6C276E53" w14:textId="77777777" w:rsidR="006D367F" w:rsidRPr="000113B8" w:rsidRDefault="006D367F" w:rsidP="00EC7684">
            <w:pPr>
              <w:ind w:right="51"/>
              <w:jc w:val="center"/>
              <w:rPr>
                <w:rFonts w:ascii="Garamond" w:eastAsia="Batang" w:hAnsi="Garamond" w:cs="Arial"/>
                <w:color w:val="000000" w:themeColor="text1"/>
              </w:rPr>
            </w:pPr>
            <w:r w:rsidRPr="000113B8">
              <w:rPr>
                <w:rFonts w:ascii="Garamond" w:hAnsi="Garamond" w:cs="Arial"/>
                <w:color w:val="000000" w:themeColor="text1"/>
              </w:rPr>
              <w:t>860002400-2</w:t>
            </w:r>
          </w:p>
        </w:tc>
        <w:tc>
          <w:tcPr>
            <w:tcW w:w="1058" w:type="pct"/>
            <w:vAlign w:val="center"/>
          </w:tcPr>
          <w:p w14:paraId="3FC068C1" w14:textId="77777777" w:rsidR="006D367F" w:rsidRPr="000113B8" w:rsidRDefault="006D367F" w:rsidP="00EC7684">
            <w:pPr>
              <w:ind w:right="51"/>
              <w:jc w:val="center"/>
              <w:rPr>
                <w:rFonts w:ascii="Garamond" w:eastAsia="Batang" w:hAnsi="Garamond" w:cs="Arial"/>
                <w:color w:val="000000" w:themeColor="text1"/>
              </w:rPr>
            </w:pPr>
            <w:r w:rsidRPr="000113B8">
              <w:rPr>
                <w:rFonts w:ascii="Garamond" w:hAnsi="Garamond" w:cs="Arial"/>
                <w:color w:val="000000" w:themeColor="text1"/>
              </w:rPr>
              <w:t>Gran Empresa</w:t>
            </w:r>
          </w:p>
        </w:tc>
      </w:tr>
      <w:tr w:rsidR="009A7F8F" w:rsidRPr="000113B8" w14:paraId="150C3F0F" w14:textId="77777777" w:rsidTr="00EC7684">
        <w:trPr>
          <w:trHeight w:val="276"/>
        </w:trPr>
        <w:tc>
          <w:tcPr>
            <w:tcW w:w="296" w:type="pct"/>
            <w:vMerge w:val="restart"/>
            <w:shd w:val="clear" w:color="auto" w:fill="F2F2F2"/>
            <w:vAlign w:val="center"/>
          </w:tcPr>
          <w:p w14:paraId="5D2B35B2" w14:textId="77777777" w:rsidR="006D367F" w:rsidRPr="000113B8" w:rsidRDefault="006D367F" w:rsidP="00EC7684">
            <w:pPr>
              <w:ind w:right="51"/>
              <w:jc w:val="center"/>
              <w:rPr>
                <w:rFonts w:ascii="Garamond" w:eastAsia="Batang" w:hAnsi="Garamond" w:cs="Arial"/>
                <w:b/>
                <w:bCs/>
                <w:color w:val="000000" w:themeColor="text1"/>
              </w:rPr>
            </w:pPr>
            <w:r w:rsidRPr="000113B8">
              <w:rPr>
                <w:rFonts w:ascii="Garamond" w:eastAsia="Batang" w:hAnsi="Garamond" w:cs="Arial"/>
                <w:b/>
                <w:bCs/>
                <w:color w:val="000000" w:themeColor="text1"/>
              </w:rPr>
              <w:t>11</w:t>
            </w:r>
          </w:p>
        </w:tc>
        <w:tc>
          <w:tcPr>
            <w:tcW w:w="2867" w:type="pct"/>
            <w:shd w:val="clear" w:color="auto" w:fill="F2F2F2"/>
            <w:noWrap/>
            <w:vAlign w:val="center"/>
          </w:tcPr>
          <w:p w14:paraId="5DB7C3C1" w14:textId="77777777" w:rsidR="006D367F" w:rsidRPr="000113B8" w:rsidRDefault="006D367F" w:rsidP="00EC7684">
            <w:pPr>
              <w:ind w:right="51"/>
              <w:jc w:val="center"/>
              <w:rPr>
                <w:rFonts w:ascii="Garamond" w:eastAsia="Batang" w:hAnsi="Garamond" w:cs="Arial"/>
                <w:bCs/>
                <w:color w:val="000000" w:themeColor="text1"/>
              </w:rPr>
            </w:pPr>
            <w:r w:rsidRPr="000113B8">
              <w:rPr>
                <w:rFonts w:ascii="Garamond" w:eastAsia="Batang" w:hAnsi="Garamond" w:cs="Arial"/>
                <w:bCs/>
                <w:color w:val="000000" w:themeColor="text1"/>
              </w:rPr>
              <w:t>MAPFRE COLOMBIA VIDA SEGUROS S.A.</w:t>
            </w:r>
          </w:p>
        </w:tc>
        <w:tc>
          <w:tcPr>
            <w:tcW w:w="779" w:type="pct"/>
            <w:shd w:val="clear" w:color="auto" w:fill="F2F2F2"/>
            <w:noWrap/>
            <w:vAlign w:val="center"/>
          </w:tcPr>
          <w:p w14:paraId="6DDDB800" w14:textId="77777777" w:rsidR="006D367F" w:rsidRPr="000113B8" w:rsidRDefault="006D367F" w:rsidP="00EC7684">
            <w:pPr>
              <w:ind w:right="51"/>
              <w:jc w:val="center"/>
              <w:rPr>
                <w:rFonts w:ascii="Garamond" w:hAnsi="Garamond" w:cs="Arial"/>
                <w:color w:val="000000" w:themeColor="text1"/>
              </w:rPr>
            </w:pPr>
            <w:r w:rsidRPr="000113B8">
              <w:rPr>
                <w:rFonts w:ascii="Garamond" w:hAnsi="Garamond" w:cs="Arial"/>
                <w:color w:val="000000" w:themeColor="text1"/>
              </w:rPr>
              <w:t>830054904-6</w:t>
            </w:r>
          </w:p>
        </w:tc>
        <w:tc>
          <w:tcPr>
            <w:tcW w:w="1058" w:type="pct"/>
            <w:shd w:val="clear" w:color="auto" w:fill="F2F2F2"/>
            <w:vAlign w:val="center"/>
          </w:tcPr>
          <w:p w14:paraId="6DE8BFA0" w14:textId="77777777" w:rsidR="006D367F" w:rsidRPr="000113B8" w:rsidRDefault="006D367F" w:rsidP="00EC7684">
            <w:pPr>
              <w:ind w:right="51"/>
              <w:jc w:val="center"/>
              <w:rPr>
                <w:rFonts w:ascii="Garamond" w:hAnsi="Garamond" w:cs="Arial"/>
                <w:color w:val="000000" w:themeColor="text1"/>
              </w:rPr>
            </w:pPr>
            <w:r w:rsidRPr="000113B8">
              <w:rPr>
                <w:rFonts w:ascii="Garamond" w:hAnsi="Garamond" w:cs="Arial"/>
                <w:color w:val="000000" w:themeColor="text1"/>
              </w:rPr>
              <w:t>Gran Empresa</w:t>
            </w:r>
          </w:p>
        </w:tc>
      </w:tr>
      <w:tr w:rsidR="009A7F8F" w:rsidRPr="000113B8" w14:paraId="76AF4CEF" w14:textId="77777777" w:rsidTr="00EC7684">
        <w:trPr>
          <w:trHeight w:val="276"/>
        </w:trPr>
        <w:tc>
          <w:tcPr>
            <w:tcW w:w="296" w:type="pct"/>
            <w:vMerge/>
            <w:vAlign w:val="center"/>
          </w:tcPr>
          <w:p w14:paraId="11DBE583" w14:textId="77777777" w:rsidR="006D367F" w:rsidRPr="000113B8" w:rsidRDefault="006D367F" w:rsidP="00EC7684">
            <w:pPr>
              <w:ind w:right="51"/>
              <w:jc w:val="center"/>
              <w:rPr>
                <w:rFonts w:ascii="Garamond" w:eastAsia="Batang" w:hAnsi="Garamond" w:cs="Arial"/>
                <w:b/>
                <w:bCs/>
                <w:color w:val="000000" w:themeColor="text1"/>
              </w:rPr>
            </w:pPr>
          </w:p>
        </w:tc>
        <w:tc>
          <w:tcPr>
            <w:tcW w:w="2867" w:type="pct"/>
            <w:noWrap/>
            <w:vAlign w:val="center"/>
          </w:tcPr>
          <w:p w14:paraId="3C009BDF" w14:textId="77777777" w:rsidR="006D367F" w:rsidRPr="000113B8" w:rsidRDefault="006D367F" w:rsidP="00EC7684">
            <w:pPr>
              <w:ind w:right="51"/>
              <w:jc w:val="center"/>
              <w:rPr>
                <w:rFonts w:ascii="Garamond" w:eastAsia="Batang" w:hAnsi="Garamond" w:cs="Arial"/>
                <w:bCs/>
                <w:color w:val="000000" w:themeColor="text1"/>
              </w:rPr>
            </w:pPr>
            <w:r w:rsidRPr="000113B8">
              <w:rPr>
                <w:rFonts w:ascii="Garamond" w:hAnsi="Garamond" w:cs="Arial"/>
                <w:bCs/>
                <w:color w:val="000000" w:themeColor="text1"/>
              </w:rPr>
              <w:t>MAPFRE SEGUROS GENERALES DE COLOMBIA S.A.</w:t>
            </w:r>
          </w:p>
        </w:tc>
        <w:tc>
          <w:tcPr>
            <w:tcW w:w="779" w:type="pct"/>
            <w:noWrap/>
            <w:vAlign w:val="center"/>
          </w:tcPr>
          <w:p w14:paraId="7E688636" w14:textId="77777777" w:rsidR="006D367F" w:rsidRPr="000113B8" w:rsidRDefault="006D367F" w:rsidP="00EC7684">
            <w:pPr>
              <w:ind w:right="51"/>
              <w:jc w:val="center"/>
              <w:rPr>
                <w:rFonts w:ascii="Garamond" w:eastAsia="Batang" w:hAnsi="Garamond" w:cs="Arial"/>
                <w:color w:val="000000" w:themeColor="text1"/>
              </w:rPr>
            </w:pPr>
            <w:r w:rsidRPr="000113B8">
              <w:rPr>
                <w:rFonts w:ascii="Garamond" w:hAnsi="Garamond" w:cs="Arial"/>
                <w:color w:val="000000" w:themeColor="text1"/>
              </w:rPr>
              <w:t>891700037-9</w:t>
            </w:r>
          </w:p>
        </w:tc>
        <w:tc>
          <w:tcPr>
            <w:tcW w:w="1058" w:type="pct"/>
            <w:vAlign w:val="center"/>
          </w:tcPr>
          <w:p w14:paraId="0AF1BB68" w14:textId="77777777" w:rsidR="006D367F" w:rsidRPr="000113B8" w:rsidRDefault="006D367F" w:rsidP="00EC7684">
            <w:pPr>
              <w:ind w:right="51"/>
              <w:jc w:val="center"/>
              <w:rPr>
                <w:rFonts w:ascii="Garamond" w:eastAsia="Batang" w:hAnsi="Garamond" w:cs="Arial"/>
                <w:color w:val="000000" w:themeColor="text1"/>
              </w:rPr>
            </w:pPr>
            <w:r w:rsidRPr="000113B8">
              <w:rPr>
                <w:rFonts w:ascii="Garamond" w:hAnsi="Garamond" w:cs="Arial"/>
                <w:color w:val="000000" w:themeColor="text1"/>
              </w:rPr>
              <w:t>Gran Empresa</w:t>
            </w:r>
          </w:p>
        </w:tc>
      </w:tr>
      <w:tr w:rsidR="009A7F8F" w:rsidRPr="000113B8" w14:paraId="7E9844B0" w14:textId="77777777" w:rsidTr="00EC7684">
        <w:trPr>
          <w:trHeight w:val="276"/>
        </w:trPr>
        <w:tc>
          <w:tcPr>
            <w:tcW w:w="296" w:type="pct"/>
            <w:shd w:val="clear" w:color="auto" w:fill="F2F2F2"/>
            <w:vAlign w:val="center"/>
          </w:tcPr>
          <w:p w14:paraId="3E2769F4" w14:textId="77777777" w:rsidR="006D367F" w:rsidRPr="000113B8" w:rsidRDefault="006D367F" w:rsidP="00EC7684">
            <w:pPr>
              <w:ind w:right="51"/>
              <w:jc w:val="center"/>
              <w:rPr>
                <w:rFonts w:ascii="Garamond" w:eastAsia="Batang" w:hAnsi="Garamond" w:cs="Arial"/>
                <w:b/>
                <w:bCs/>
                <w:color w:val="000000" w:themeColor="text1"/>
              </w:rPr>
            </w:pPr>
            <w:r w:rsidRPr="000113B8">
              <w:rPr>
                <w:rFonts w:ascii="Garamond" w:eastAsia="Batang" w:hAnsi="Garamond" w:cs="Arial"/>
                <w:b/>
                <w:bCs/>
                <w:color w:val="000000" w:themeColor="text1"/>
              </w:rPr>
              <w:t>12</w:t>
            </w:r>
          </w:p>
        </w:tc>
        <w:tc>
          <w:tcPr>
            <w:tcW w:w="2867" w:type="pct"/>
            <w:shd w:val="clear" w:color="auto" w:fill="F2F2F2"/>
            <w:noWrap/>
            <w:vAlign w:val="center"/>
          </w:tcPr>
          <w:p w14:paraId="09189CAC" w14:textId="77777777" w:rsidR="006D367F" w:rsidRPr="000113B8" w:rsidRDefault="006D367F" w:rsidP="00EC7684">
            <w:pPr>
              <w:ind w:right="51"/>
              <w:jc w:val="center"/>
              <w:rPr>
                <w:rFonts w:ascii="Garamond" w:eastAsia="Batang" w:hAnsi="Garamond" w:cs="Arial"/>
                <w:bCs/>
                <w:color w:val="000000" w:themeColor="text1"/>
              </w:rPr>
            </w:pPr>
            <w:r w:rsidRPr="000113B8">
              <w:rPr>
                <w:rFonts w:ascii="Garamond" w:eastAsia="Batang" w:hAnsi="Garamond" w:cs="Arial"/>
                <w:bCs/>
                <w:color w:val="000000" w:themeColor="text1"/>
              </w:rPr>
              <w:t>POSITIVA COMPAÑÍA DE SEGUROS S.A.</w:t>
            </w:r>
          </w:p>
        </w:tc>
        <w:tc>
          <w:tcPr>
            <w:tcW w:w="779" w:type="pct"/>
            <w:shd w:val="clear" w:color="auto" w:fill="F2F2F2"/>
            <w:noWrap/>
            <w:vAlign w:val="center"/>
          </w:tcPr>
          <w:p w14:paraId="103F1C99" w14:textId="77777777" w:rsidR="006D367F" w:rsidRPr="000113B8" w:rsidRDefault="006D367F" w:rsidP="00EC7684">
            <w:pPr>
              <w:ind w:right="51"/>
              <w:jc w:val="center"/>
              <w:rPr>
                <w:rFonts w:ascii="Garamond" w:eastAsia="Batang" w:hAnsi="Garamond" w:cs="Arial"/>
                <w:color w:val="000000" w:themeColor="text1"/>
              </w:rPr>
            </w:pPr>
            <w:r w:rsidRPr="000113B8">
              <w:rPr>
                <w:rFonts w:ascii="Garamond" w:hAnsi="Garamond" w:cs="Arial"/>
                <w:color w:val="000000" w:themeColor="text1"/>
              </w:rPr>
              <w:t>860011153-6</w:t>
            </w:r>
          </w:p>
        </w:tc>
        <w:tc>
          <w:tcPr>
            <w:tcW w:w="1058" w:type="pct"/>
            <w:shd w:val="clear" w:color="auto" w:fill="F2F2F2"/>
            <w:vAlign w:val="center"/>
          </w:tcPr>
          <w:p w14:paraId="6038D034" w14:textId="77777777" w:rsidR="006D367F" w:rsidRPr="000113B8" w:rsidRDefault="006D367F" w:rsidP="00EC7684">
            <w:pPr>
              <w:ind w:right="51"/>
              <w:jc w:val="center"/>
              <w:rPr>
                <w:rFonts w:ascii="Garamond" w:eastAsia="Batang" w:hAnsi="Garamond" w:cs="Arial"/>
                <w:color w:val="000000" w:themeColor="text1"/>
              </w:rPr>
            </w:pPr>
            <w:r w:rsidRPr="000113B8">
              <w:rPr>
                <w:rFonts w:ascii="Garamond" w:hAnsi="Garamond" w:cs="Arial"/>
                <w:color w:val="000000" w:themeColor="text1"/>
              </w:rPr>
              <w:t>Gran Empresa</w:t>
            </w:r>
          </w:p>
        </w:tc>
      </w:tr>
      <w:tr w:rsidR="009A7F8F" w:rsidRPr="000113B8" w14:paraId="697A1566" w14:textId="77777777" w:rsidTr="00EC7684">
        <w:trPr>
          <w:trHeight w:val="276"/>
        </w:trPr>
        <w:tc>
          <w:tcPr>
            <w:tcW w:w="296" w:type="pct"/>
            <w:vAlign w:val="center"/>
          </w:tcPr>
          <w:p w14:paraId="3290000F" w14:textId="77777777" w:rsidR="006D367F" w:rsidRPr="000113B8" w:rsidRDefault="006D367F" w:rsidP="00EC7684">
            <w:pPr>
              <w:ind w:right="51"/>
              <w:jc w:val="center"/>
              <w:rPr>
                <w:rFonts w:ascii="Garamond" w:eastAsia="Batang" w:hAnsi="Garamond" w:cs="Arial"/>
                <w:color w:val="000000" w:themeColor="text1"/>
              </w:rPr>
            </w:pPr>
            <w:r w:rsidRPr="000113B8">
              <w:rPr>
                <w:rFonts w:ascii="Garamond" w:eastAsia="Batang" w:hAnsi="Garamond" w:cs="Arial"/>
                <w:b/>
                <w:bCs/>
                <w:color w:val="000000" w:themeColor="text1"/>
              </w:rPr>
              <w:t>13</w:t>
            </w:r>
          </w:p>
        </w:tc>
        <w:tc>
          <w:tcPr>
            <w:tcW w:w="2867" w:type="pct"/>
            <w:noWrap/>
            <w:vAlign w:val="center"/>
          </w:tcPr>
          <w:p w14:paraId="595F1D7C" w14:textId="77777777" w:rsidR="006D367F" w:rsidRPr="000113B8" w:rsidRDefault="006D367F" w:rsidP="00EC7684">
            <w:pPr>
              <w:ind w:right="51"/>
              <w:jc w:val="center"/>
              <w:rPr>
                <w:rFonts w:ascii="Garamond" w:eastAsia="Batang" w:hAnsi="Garamond" w:cs="Arial"/>
                <w:bCs/>
                <w:color w:val="000000" w:themeColor="text1"/>
              </w:rPr>
            </w:pPr>
            <w:r w:rsidRPr="000113B8">
              <w:rPr>
                <w:rFonts w:ascii="Garamond" w:eastAsia="Batang" w:hAnsi="Garamond" w:cs="Arial"/>
                <w:bCs/>
                <w:color w:val="000000" w:themeColor="text1"/>
              </w:rPr>
              <w:t>SBS SEGUROS COLOMBIA S.A.</w:t>
            </w:r>
          </w:p>
        </w:tc>
        <w:tc>
          <w:tcPr>
            <w:tcW w:w="779" w:type="pct"/>
            <w:noWrap/>
            <w:vAlign w:val="center"/>
          </w:tcPr>
          <w:p w14:paraId="30FAF650" w14:textId="77777777" w:rsidR="006D367F" w:rsidRPr="000113B8" w:rsidRDefault="006D367F" w:rsidP="00EC7684">
            <w:pPr>
              <w:ind w:right="51"/>
              <w:jc w:val="center"/>
              <w:rPr>
                <w:rFonts w:ascii="Garamond" w:eastAsia="Batang" w:hAnsi="Garamond" w:cs="Arial"/>
                <w:color w:val="000000" w:themeColor="text1"/>
              </w:rPr>
            </w:pPr>
            <w:r w:rsidRPr="000113B8">
              <w:rPr>
                <w:rFonts w:ascii="Garamond" w:hAnsi="Garamond" w:cs="Arial"/>
                <w:color w:val="000000" w:themeColor="text1"/>
              </w:rPr>
              <w:t>860037707-9</w:t>
            </w:r>
          </w:p>
        </w:tc>
        <w:tc>
          <w:tcPr>
            <w:tcW w:w="1058" w:type="pct"/>
            <w:vAlign w:val="center"/>
          </w:tcPr>
          <w:p w14:paraId="26C833DB" w14:textId="77777777" w:rsidR="006D367F" w:rsidRPr="000113B8" w:rsidRDefault="006D367F" w:rsidP="00EC7684">
            <w:pPr>
              <w:ind w:right="51"/>
              <w:jc w:val="center"/>
              <w:rPr>
                <w:rFonts w:ascii="Garamond" w:eastAsia="Batang" w:hAnsi="Garamond" w:cs="Arial"/>
                <w:color w:val="000000" w:themeColor="text1"/>
              </w:rPr>
            </w:pPr>
            <w:r w:rsidRPr="000113B8">
              <w:rPr>
                <w:rFonts w:ascii="Garamond" w:hAnsi="Garamond" w:cs="Arial"/>
                <w:color w:val="000000" w:themeColor="text1"/>
              </w:rPr>
              <w:t>Gran Empresa</w:t>
            </w:r>
          </w:p>
        </w:tc>
      </w:tr>
      <w:tr w:rsidR="009A7F8F" w:rsidRPr="000113B8" w14:paraId="753C60A4" w14:textId="77777777" w:rsidTr="00EC7684">
        <w:trPr>
          <w:trHeight w:val="276"/>
        </w:trPr>
        <w:tc>
          <w:tcPr>
            <w:tcW w:w="296" w:type="pct"/>
            <w:vMerge w:val="restart"/>
            <w:shd w:val="clear" w:color="auto" w:fill="F2F2F2"/>
            <w:vAlign w:val="center"/>
          </w:tcPr>
          <w:p w14:paraId="0B93D6C7" w14:textId="77777777" w:rsidR="006D367F" w:rsidRPr="000113B8" w:rsidRDefault="006D367F" w:rsidP="00EC7684">
            <w:pPr>
              <w:ind w:right="51"/>
              <w:jc w:val="center"/>
              <w:rPr>
                <w:rFonts w:ascii="Garamond" w:eastAsia="Batang" w:hAnsi="Garamond" w:cs="Arial"/>
                <w:b/>
                <w:bCs/>
                <w:color w:val="000000" w:themeColor="text1"/>
              </w:rPr>
            </w:pPr>
            <w:r w:rsidRPr="000113B8">
              <w:rPr>
                <w:rFonts w:ascii="Garamond" w:eastAsia="Batang" w:hAnsi="Garamond" w:cs="Arial"/>
                <w:b/>
                <w:bCs/>
                <w:color w:val="000000" w:themeColor="text1"/>
              </w:rPr>
              <w:t>14</w:t>
            </w:r>
          </w:p>
        </w:tc>
        <w:tc>
          <w:tcPr>
            <w:tcW w:w="2867" w:type="pct"/>
            <w:shd w:val="clear" w:color="auto" w:fill="F2F2F2"/>
            <w:noWrap/>
            <w:vAlign w:val="center"/>
            <w:hideMark/>
          </w:tcPr>
          <w:p w14:paraId="41A35946" w14:textId="77777777" w:rsidR="006D367F" w:rsidRPr="000113B8" w:rsidRDefault="006D367F" w:rsidP="00EC7684">
            <w:pPr>
              <w:ind w:right="51"/>
              <w:jc w:val="center"/>
              <w:rPr>
                <w:rFonts w:ascii="Garamond" w:eastAsia="Batang" w:hAnsi="Garamond" w:cs="Arial"/>
                <w:bCs/>
                <w:color w:val="000000" w:themeColor="text1"/>
              </w:rPr>
            </w:pPr>
            <w:r w:rsidRPr="000113B8">
              <w:rPr>
                <w:rFonts w:ascii="Garamond" w:eastAsia="Batang" w:hAnsi="Garamond" w:cs="Arial"/>
                <w:bCs/>
                <w:color w:val="000000" w:themeColor="text1"/>
              </w:rPr>
              <w:t>SEGUROS DEL ESTADO S.A.</w:t>
            </w:r>
          </w:p>
        </w:tc>
        <w:tc>
          <w:tcPr>
            <w:tcW w:w="779" w:type="pct"/>
            <w:shd w:val="clear" w:color="auto" w:fill="F2F2F2"/>
            <w:noWrap/>
            <w:vAlign w:val="center"/>
          </w:tcPr>
          <w:p w14:paraId="32A4A91F" w14:textId="77777777" w:rsidR="006D367F" w:rsidRPr="000113B8" w:rsidRDefault="006D367F" w:rsidP="00EC7684">
            <w:pPr>
              <w:ind w:right="51"/>
              <w:jc w:val="center"/>
              <w:rPr>
                <w:rFonts w:ascii="Garamond" w:eastAsia="Batang" w:hAnsi="Garamond" w:cs="Arial"/>
                <w:color w:val="000000" w:themeColor="text1"/>
              </w:rPr>
            </w:pPr>
            <w:r w:rsidRPr="000113B8">
              <w:rPr>
                <w:rFonts w:ascii="Garamond" w:hAnsi="Garamond" w:cs="Arial"/>
                <w:color w:val="000000" w:themeColor="text1"/>
              </w:rPr>
              <w:t>860009578-6</w:t>
            </w:r>
          </w:p>
        </w:tc>
        <w:tc>
          <w:tcPr>
            <w:tcW w:w="1058" w:type="pct"/>
            <w:shd w:val="clear" w:color="auto" w:fill="F2F2F2"/>
            <w:vAlign w:val="center"/>
          </w:tcPr>
          <w:p w14:paraId="71F8EA2B" w14:textId="77777777" w:rsidR="006D367F" w:rsidRPr="000113B8" w:rsidRDefault="006D367F" w:rsidP="00EC7684">
            <w:pPr>
              <w:ind w:right="51"/>
              <w:jc w:val="center"/>
              <w:rPr>
                <w:rFonts w:ascii="Garamond" w:eastAsia="Batang" w:hAnsi="Garamond" w:cs="Arial"/>
                <w:color w:val="000000" w:themeColor="text1"/>
              </w:rPr>
            </w:pPr>
            <w:r w:rsidRPr="000113B8">
              <w:rPr>
                <w:rFonts w:ascii="Garamond" w:hAnsi="Garamond" w:cs="Arial"/>
                <w:color w:val="000000" w:themeColor="text1"/>
              </w:rPr>
              <w:t>Gran Empresa</w:t>
            </w:r>
          </w:p>
        </w:tc>
      </w:tr>
      <w:tr w:rsidR="009A7F8F" w:rsidRPr="000113B8" w14:paraId="3B7662DE" w14:textId="77777777" w:rsidTr="00EC7684">
        <w:trPr>
          <w:trHeight w:val="276"/>
        </w:trPr>
        <w:tc>
          <w:tcPr>
            <w:tcW w:w="296" w:type="pct"/>
            <w:vMerge/>
            <w:vAlign w:val="center"/>
          </w:tcPr>
          <w:p w14:paraId="28545882" w14:textId="77777777" w:rsidR="006D367F" w:rsidRPr="000113B8" w:rsidRDefault="006D367F" w:rsidP="00EC7684">
            <w:pPr>
              <w:ind w:right="51"/>
              <w:jc w:val="center"/>
              <w:rPr>
                <w:rFonts w:ascii="Garamond" w:eastAsia="Batang" w:hAnsi="Garamond" w:cs="Arial"/>
                <w:b/>
                <w:bCs/>
                <w:color w:val="000000" w:themeColor="text1"/>
              </w:rPr>
            </w:pPr>
          </w:p>
        </w:tc>
        <w:tc>
          <w:tcPr>
            <w:tcW w:w="2867" w:type="pct"/>
            <w:noWrap/>
            <w:vAlign w:val="center"/>
          </w:tcPr>
          <w:p w14:paraId="46D4407A" w14:textId="77777777" w:rsidR="006D367F" w:rsidRPr="000113B8" w:rsidRDefault="006D367F" w:rsidP="00EC7684">
            <w:pPr>
              <w:ind w:right="51"/>
              <w:jc w:val="center"/>
              <w:rPr>
                <w:rFonts w:ascii="Garamond" w:eastAsia="Batang" w:hAnsi="Garamond" w:cs="Arial"/>
                <w:bCs/>
                <w:color w:val="000000" w:themeColor="text1"/>
              </w:rPr>
            </w:pPr>
            <w:r w:rsidRPr="000113B8">
              <w:rPr>
                <w:rFonts w:ascii="Garamond" w:hAnsi="Garamond" w:cs="Arial"/>
                <w:bCs/>
                <w:color w:val="000000" w:themeColor="text1"/>
              </w:rPr>
              <w:t>SEGUROS DE VIDA DEL ESTADO S.A.</w:t>
            </w:r>
          </w:p>
        </w:tc>
        <w:tc>
          <w:tcPr>
            <w:tcW w:w="779" w:type="pct"/>
            <w:noWrap/>
            <w:vAlign w:val="center"/>
          </w:tcPr>
          <w:p w14:paraId="57BA6C93" w14:textId="77777777" w:rsidR="006D367F" w:rsidRPr="000113B8" w:rsidRDefault="006D367F" w:rsidP="00EC7684">
            <w:pPr>
              <w:ind w:right="51"/>
              <w:jc w:val="center"/>
              <w:rPr>
                <w:rFonts w:ascii="Garamond" w:hAnsi="Garamond" w:cs="Arial"/>
                <w:color w:val="000000" w:themeColor="text1"/>
              </w:rPr>
            </w:pPr>
            <w:r w:rsidRPr="000113B8">
              <w:rPr>
                <w:rFonts w:ascii="Garamond" w:hAnsi="Garamond" w:cs="Arial"/>
                <w:color w:val="000000" w:themeColor="text1"/>
              </w:rPr>
              <w:t>860009174-4</w:t>
            </w:r>
          </w:p>
        </w:tc>
        <w:tc>
          <w:tcPr>
            <w:tcW w:w="1058" w:type="pct"/>
            <w:vAlign w:val="center"/>
          </w:tcPr>
          <w:p w14:paraId="25E41E98" w14:textId="77777777" w:rsidR="006D367F" w:rsidRPr="000113B8" w:rsidRDefault="006D367F" w:rsidP="00EC7684">
            <w:pPr>
              <w:ind w:right="51"/>
              <w:jc w:val="center"/>
              <w:rPr>
                <w:rFonts w:ascii="Garamond" w:hAnsi="Garamond" w:cs="Arial"/>
                <w:color w:val="000000" w:themeColor="text1"/>
              </w:rPr>
            </w:pPr>
            <w:r w:rsidRPr="000113B8">
              <w:rPr>
                <w:rFonts w:ascii="Garamond" w:hAnsi="Garamond" w:cs="Arial"/>
                <w:color w:val="000000" w:themeColor="text1"/>
              </w:rPr>
              <w:t>Gran Empresa</w:t>
            </w:r>
          </w:p>
        </w:tc>
      </w:tr>
      <w:tr w:rsidR="009A7F8F" w:rsidRPr="000113B8" w14:paraId="7787C614" w14:textId="77777777" w:rsidTr="00EC7684">
        <w:trPr>
          <w:trHeight w:val="276"/>
        </w:trPr>
        <w:tc>
          <w:tcPr>
            <w:tcW w:w="296" w:type="pct"/>
            <w:vMerge w:val="restart"/>
            <w:shd w:val="clear" w:color="auto" w:fill="F2F2F2"/>
            <w:vAlign w:val="center"/>
          </w:tcPr>
          <w:p w14:paraId="47BBBA96" w14:textId="77777777" w:rsidR="006D367F" w:rsidRPr="000113B8" w:rsidRDefault="006D367F" w:rsidP="00EC7684">
            <w:pPr>
              <w:ind w:right="51"/>
              <w:jc w:val="center"/>
              <w:rPr>
                <w:rFonts w:ascii="Garamond" w:eastAsia="Batang" w:hAnsi="Garamond" w:cs="Arial"/>
                <w:b/>
                <w:bCs/>
                <w:color w:val="000000" w:themeColor="text1"/>
              </w:rPr>
            </w:pPr>
            <w:r w:rsidRPr="000113B8">
              <w:rPr>
                <w:rFonts w:ascii="Garamond" w:eastAsia="Batang" w:hAnsi="Garamond" w:cs="Arial"/>
                <w:b/>
                <w:bCs/>
                <w:color w:val="000000" w:themeColor="text1"/>
              </w:rPr>
              <w:t>15</w:t>
            </w:r>
          </w:p>
        </w:tc>
        <w:tc>
          <w:tcPr>
            <w:tcW w:w="2867" w:type="pct"/>
            <w:shd w:val="clear" w:color="auto" w:fill="F2F2F2"/>
            <w:noWrap/>
            <w:vAlign w:val="center"/>
          </w:tcPr>
          <w:p w14:paraId="07F1E177" w14:textId="77777777" w:rsidR="006D367F" w:rsidRPr="000113B8" w:rsidRDefault="006D367F" w:rsidP="00EC7684">
            <w:pPr>
              <w:ind w:right="51"/>
              <w:jc w:val="center"/>
              <w:rPr>
                <w:rFonts w:ascii="Garamond" w:eastAsia="Batang" w:hAnsi="Garamond" w:cs="Arial"/>
                <w:bCs/>
                <w:color w:val="000000" w:themeColor="text1"/>
              </w:rPr>
            </w:pPr>
            <w:r w:rsidRPr="000113B8">
              <w:rPr>
                <w:rFonts w:ascii="Garamond" w:eastAsia="Batang" w:hAnsi="Garamond" w:cs="Arial"/>
                <w:bCs/>
                <w:color w:val="000000" w:themeColor="text1"/>
              </w:rPr>
              <w:t>SEGUROS DE VIDA SURAMERICANA S.A.</w:t>
            </w:r>
          </w:p>
        </w:tc>
        <w:tc>
          <w:tcPr>
            <w:tcW w:w="779" w:type="pct"/>
            <w:shd w:val="clear" w:color="auto" w:fill="F2F2F2"/>
            <w:noWrap/>
            <w:vAlign w:val="center"/>
          </w:tcPr>
          <w:p w14:paraId="656344F4" w14:textId="77777777" w:rsidR="006D367F" w:rsidRPr="000113B8" w:rsidRDefault="006D367F" w:rsidP="00EC7684">
            <w:pPr>
              <w:ind w:right="51"/>
              <w:jc w:val="center"/>
              <w:rPr>
                <w:rFonts w:ascii="Garamond" w:eastAsia="Batang" w:hAnsi="Garamond" w:cs="Arial"/>
                <w:color w:val="000000" w:themeColor="text1"/>
              </w:rPr>
            </w:pPr>
            <w:r w:rsidRPr="000113B8">
              <w:rPr>
                <w:rFonts w:ascii="Garamond" w:hAnsi="Garamond" w:cs="Arial"/>
                <w:color w:val="000000" w:themeColor="text1"/>
              </w:rPr>
              <w:t>890903790-5</w:t>
            </w:r>
          </w:p>
        </w:tc>
        <w:tc>
          <w:tcPr>
            <w:tcW w:w="1058" w:type="pct"/>
            <w:shd w:val="clear" w:color="auto" w:fill="F2F2F2"/>
            <w:vAlign w:val="center"/>
          </w:tcPr>
          <w:p w14:paraId="2C5943B8" w14:textId="77777777" w:rsidR="006D367F" w:rsidRPr="000113B8" w:rsidRDefault="006D367F" w:rsidP="00EC7684">
            <w:pPr>
              <w:ind w:right="51"/>
              <w:jc w:val="center"/>
              <w:rPr>
                <w:rFonts w:ascii="Garamond" w:eastAsia="Batang" w:hAnsi="Garamond" w:cs="Arial"/>
                <w:color w:val="000000" w:themeColor="text1"/>
              </w:rPr>
            </w:pPr>
            <w:r w:rsidRPr="000113B8">
              <w:rPr>
                <w:rFonts w:ascii="Garamond" w:hAnsi="Garamond" w:cs="Arial"/>
                <w:color w:val="000000" w:themeColor="text1"/>
              </w:rPr>
              <w:t>Gran Empresa</w:t>
            </w:r>
          </w:p>
        </w:tc>
      </w:tr>
      <w:tr w:rsidR="009A7F8F" w:rsidRPr="000113B8" w14:paraId="3D139F6E" w14:textId="77777777" w:rsidTr="00EC7684">
        <w:trPr>
          <w:trHeight w:val="276"/>
        </w:trPr>
        <w:tc>
          <w:tcPr>
            <w:tcW w:w="296" w:type="pct"/>
            <w:vMerge/>
            <w:vAlign w:val="center"/>
          </w:tcPr>
          <w:p w14:paraId="2EC6DE1C" w14:textId="77777777" w:rsidR="006D367F" w:rsidRPr="000113B8" w:rsidRDefault="006D367F" w:rsidP="00EC7684">
            <w:pPr>
              <w:ind w:right="51"/>
              <w:jc w:val="center"/>
              <w:rPr>
                <w:rFonts w:ascii="Garamond" w:eastAsia="Batang" w:hAnsi="Garamond" w:cs="Arial"/>
                <w:b/>
                <w:bCs/>
                <w:color w:val="000000" w:themeColor="text1"/>
              </w:rPr>
            </w:pPr>
          </w:p>
        </w:tc>
        <w:tc>
          <w:tcPr>
            <w:tcW w:w="2867" w:type="pct"/>
            <w:noWrap/>
            <w:vAlign w:val="center"/>
            <w:hideMark/>
          </w:tcPr>
          <w:p w14:paraId="1E43A0EE" w14:textId="77777777" w:rsidR="006D367F" w:rsidRPr="000113B8" w:rsidRDefault="006D367F" w:rsidP="00EC7684">
            <w:pPr>
              <w:ind w:right="51"/>
              <w:jc w:val="center"/>
              <w:rPr>
                <w:rFonts w:ascii="Garamond" w:eastAsia="Batang" w:hAnsi="Garamond" w:cs="Arial"/>
                <w:bCs/>
                <w:color w:val="000000" w:themeColor="text1"/>
              </w:rPr>
            </w:pPr>
            <w:r w:rsidRPr="000113B8">
              <w:rPr>
                <w:rFonts w:ascii="Garamond" w:eastAsia="Batang" w:hAnsi="Garamond" w:cs="Arial"/>
                <w:bCs/>
                <w:color w:val="000000" w:themeColor="text1"/>
              </w:rPr>
              <w:t>SEGUROS GENERALES SURAMERICANA S.A.</w:t>
            </w:r>
          </w:p>
        </w:tc>
        <w:tc>
          <w:tcPr>
            <w:tcW w:w="779" w:type="pct"/>
            <w:noWrap/>
            <w:vAlign w:val="center"/>
          </w:tcPr>
          <w:p w14:paraId="23818C40" w14:textId="77777777" w:rsidR="006D367F" w:rsidRPr="000113B8" w:rsidRDefault="006D367F" w:rsidP="00EC7684">
            <w:pPr>
              <w:ind w:right="51"/>
              <w:jc w:val="center"/>
              <w:rPr>
                <w:rFonts w:ascii="Garamond" w:eastAsia="Batang" w:hAnsi="Garamond" w:cs="Arial"/>
                <w:color w:val="000000" w:themeColor="text1"/>
              </w:rPr>
            </w:pPr>
            <w:r w:rsidRPr="000113B8">
              <w:rPr>
                <w:rFonts w:ascii="Garamond" w:hAnsi="Garamond" w:cs="Arial"/>
                <w:color w:val="000000" w:themeColor="text1"/>
              </w:rPr>
              <w:t>890903407-9</w:t>
            </w:r>
          </w:p>
        </w:tc>
        <w:tc>
          <w:tcPr>
            <w:tcW w:w="1058" w:type="pct"/>
            <w:vAlign w:val="center"/>
          </w:tcPr>
          <w:p w14:paraId="3BEE3929" w14:textId="77777777" w:rsidR="006D367F" w:rsidRPr="000113B8" w:rsidRDefault="006D367F" w:rsidP="00EC7684">
            <w:pPr>
              <w:ind w:right="51"/>
              <w:jc w:val="center"/>
              <w:rPr>
                <w:rFonts w:ascii="Garamond" w:eastAsia="Batang" w:hAnsi="Garamond" w:cs="Arial"/>
                <w:color w:val="000000" w:themeColor="text1"/>
              </w:rPr>
            </w:pPr>
            <w:r w:rsidRPr="000113B8">
              <w:rPr>
                <w:rFonts w:ascii="Garamond" w:hAnsi="Garamond" w:cs="Arial"/>
                <w:color w:val="000000" w:themeColor="text1"/>
              </w:rPr>
              <w:t>Gran Empresa</w:t>
            </w:r>
          </w:p>
        </w:tc>
      </w:tr>
      <w:tr w:rsidR="009A7F8F" w:rsidRPr="000113B8" w14:paraId="221E9669" w14:textId="77777777" w:rsidTr="00EC7684">
        <w:trPr>
          <w:trHeight w:val="276"/>
        </w:trPr>
        <w:tc>
          <w:tcPr>
            <w:tcW w:w="296" w:type="pct"/>
            <w:shd w:val="clear" w:color="auto" w:fill="F2F2F2"/>
            <w:vAlign w:val="center"/>
          </w:tcPr>
          <w:p w14:paraId="34D80804" w14:textId="77777777" w:rsidR="006D367F" w:rsidRPr="000113B8" w:rsidRDefault="006D367F" w:rsidP="00EC7684">
            <w:pPr>
              <w:ind w:right="51"/>
              <w:jc w:val="center"/>
              <w:rPr>
                <w:rFonts w:ascii="Garamond" w:eastAsia="Batang" w:hAnsi="Garamond" w:cs="Arial"/>
                <w:b/>
                <w:bCs/>
                <w:color w:val="000000" w:themeColor="text1"/>
              </w:rPr>
            </w:pPr>
            <w:r w:rsidRPr="000113B8">
              <w:rPr>
                <w:rFonts w:ascii="Garamond" w:eastAsia="Batang" w:hAnsi="Garamond" w:cs="Arial"/>
                <w:b/>
                <w:bCs/>
                <w:color w:val="000000" w:themeColor="text1"/>
              </w:rPr>
              <w:t>16</w:t>
            </w:r>
          </w:p>
        </w:tc>
        <w:tc>
          <w:tcPr>
            <w:tcW w:w="2867" w:type="pct"/>
            <w:shd w:val="clear" w:color="auto" w:fill="F2F2F2"/>
            <w:noWrap/>
            <w:vAlign w:val="center"/>
            <w:hideMark/>
          </w:tcPr>
          <w:p w14:paraId="5EB85F1D" w14:textId="77777777" w:rsidR="006D367F" w:rsidRPr="000113B8" w:rsidRDefault="006D367F" w:rsidP="00EC7684">
            <w:pPr>
              <w:ind w:right="51"/>
              <w:jc w:val="center"/>
              <w:rPr>
                <w:rFonts w:ascii="Garamond" w:eastAsia="Batang" w:hAnsi="Garamond" w:cs="Arial"/>
                <w:bCs/>
                <w:color w:val="000000" w:themeColor="text1"/>
              </w:rPr>
            </w:pPr>
            <w:r w:rsidRPr="000113B8">
              <w:rPr>
                <w:rFonts w:ascii="Garamond" w:eastAsia="Batang" w:hAnsi="Garamond" w:cs="Arial"/>
                <w:bCs/>
                <w:color w:val="000000" w:themeColor="text1"/>
              </w:rPr>
              <w:t>ZURICH COLOMBIA SEGUROS S.A.</w:t>
            </w:r>
          </w:p>
        </w:tc>
        <w:tc>
          <w:tcPr>
            <w:tcW w:w="779" w:type="pct"/>
            <w:shd w:val="clear" w:color="auto" w:fill="F2F2F2"/>
            <w:noWrap/>
            <w:vAlign w:val="center"/>
          </w:tcPr>
          <w:p w14:paraId="6225B752" w14:textId="77777777" w:rsidR="006D367F" w:rsidRPr="000113B8" w:rsidRDefault="006D367F" w:rsidP="00EC7684">
            <w:pPr>
              <w:ind w:right="51"/>
              <w:jc w:val="center"/>
              <w:rPr>
                <w:rFonts w:ascii="Garamond" w:eastAsia="Batang" w:hAnsi="Garamond" w:cs="Arial"/>
                <w:color w:val="000000" w:themeColor="text1"/>
              </w:rPr>
            </w:pPr>
            <w:r w:rsidRPr="000113B8">
              <w:rPr>
                <w:rFonts w:ascii="Garamond" w:hAnsi="Garamond" w:cs="Arial"/>
                <w:color w:val="000000" w:themeColor="text1"/>
              </w:rPr>
              <w:t>860002534-0</w:t>
            </w:r>
          </w:p>
        </w:tc>
        <w:tc>
          <w:tcPr>
            <w:tcW w:w="1058" w:type="pct"/>
            <w:shd w:val="clear" w:color="auto" w:fill="F2F2F2"/>
            <w:vAlign w:val="center"/>
          </w:tcPr>
          <w:p w14:paraId="5BF6B22F" w14:textId="77777777" w:rsidR="006D367F" w:rsidRPr="000113B8" w:rsidRDefault="006D367F" w:rsidP="00EC7684">
            <w:pPr>
              <w:ind w:right="51"/>
              <w:jc w:val="center"/>
              <w:rPr>
                <w:rFonts w:ascii="Garamond" w:eastAsia="Batang" w:hAnsi="Garamond" w:cs="Arial"/>
                <w:color w:val="000000" w:themeColor="text1"/>
              </w:rPr>
            </w:pPr>
            <w:r w:rsidRPr="000113B8">
              <w:rPr>
                <w:rFonts w:ascii="Garamond" w:hAnsi="Garamond" w:cs="Arial"/>
                <w:color w:val="000000" w:themeColor="text1"/>
              </w:rPr>
              <w:t>Gran Empresa</w:t>
            </w:r>
          </w:p>
        </w:tc>
      </w:tr>
    </w:tbl>
    <w:bookmarkEnd w:id="32"/>
    <w:p w14:paraId="0A7CEBC0" w14:textId="77777777" w:rsidR="006D367F" w:rsidRPr="000113B8" w:rsidRDefault="006D367F" w:rsidP="006D367F">
      <w:pPr>
        <w:contextualSpacing/>
        <w:jc w:val="center"/>
        <w:rPr>
          <w:rFonts w:ascii="Garamond" w:hAnsi="Garamond" w:cs="Arial"/>
          <w:bCs/>
          <w:color w:val="000000" w:themeColor="text1"/>
        </w:rPr>
      </w:pPr>
      <w:r w:rsidRPr="000113B8">
        <w:rPr>
          <w:rFonts w:ascii="Garamond" w:hAnsi="Garamond" w:cs="Arial"/>
          <w:bCs/>
          <w:color w:val="000000" w:themeColor="text1"/>
        </w:rPr>
        <w:t>Fuente: Elaboración intermediario de seguros de la entidad JARGU S.A. CORREDORES DE SEGUROS</w:t>
      </w:r>
    </w:p>
    <w:p w14:paraId="756CE1AA" w14:textId="77777777" w:rsidR="006D367F" w:rsidRPr="000113B8" w:rsidRDefault="006D367F" w:rsidP="006D367F">
      <w:pPr>
        <w:contextualSpacing/>
        <w:jc w:val="center"/>
        <w:rPr>
          <w:rFonts w:ascii="Garamond" w:hAnsi="Garamond" w:cs="Arial"/>
          <w:bCs/>
          <w:color w:val="000000" w:themeColor="text1"/>
        </w:rPr>
      </w:pPr>
    </w:p>
    <w:p w14:paraId="6D1A2A72" w14:textId="77777777" w:rsidR="006D367F" w:rsidRPr="000113B8" w:rsidRDefault="006D367F" w:rsidP="00C54B99">
      <w:pPr>
        <w:pStyle w:val="Prrafodelista"/>
        <w:widowControl/>
        <w:numPr>
          <w:ilvl w:val="0"/>
          <w:numId w:val="28"/>
        </w:numPr>
        <w:autoSpaceDE/>
        <w:autoSpaceDN/>
        <w:spacing w:before="0" w:after="200"/>
        <w:contextualSpacing/>
        <w:jc w:val="both"/>
        <w:rPr>
          <w:rFonts w:ascii="Garamond" w:hAnsi="Garamond" w:cs="Arial"/>
          <w:color w:val="000000" w:themeColor="text1"/>
        </w:rPr>
      </w:pPr>
      <w:r w:rsidRPr="000113B8">
        <w:rPr>
          <w:rFonts w:ascii="Garamond" w:hAnsi="Garamond" w:cs="Arial"/>
          <w:b/>
          <w:color w:val="000000" w:themeColor="text1"/>
        </w:rPr>
        <w:t xml:space="preserve">Limitación a </w:t>
      </w:r>
      <w:proofErr w:type="spellStart"/>
      <w:r w:rsidRPr="000113B8">
        <w:rPr>
          <w:rFonts w:ascii="Garamond" w:hAnsi="Garamond" w:cs="Arial"/>
          <w:b/>
          <w:color w:val="000000" w:themeColor="text1"/>
        </w:rPr>
        <w:t>Mipymes</w:t>
      </w:r>
      <w:proofErr w:type="spellEnd"/>
      <w:r w:rsidRPr="000113B8">
        <w:rPr>
          <w:rFonts w:ascii="Garamond" w:hAnsi="Garamond" w:cs="Arial"/>
          <w:b/>
          <w:color w:val="000000" w:themeColor="text1"/>
        </w:rPr>
        <w:t xml:space="preserve"> </w:t>
      </w:r>
    </w:p>
    <w:p w14:paraId="1FDB42A4" w14:textId="77777777" w:rsidR="006D367F" w:rsidRPr="000113B8" w:rsidRDefault="006D367F" w:rsidP="006D367F">
      <w:pPr>
        <w:pBdr>
          <w:top w:val="nil"/>
          <w:left w:val="nil"/>
          <w:bottom w:val="nil"/>
          <w:right w:val="nil"/>
          <w:between w:val="nil"/>
        </w:pBdr>
        <w:ind w:right="51" w:hanging="2"/>
        <w:jc w:val="both"/>
        <w:rPr>
          <w:rFonts w:ascii="Garamond" w:hAnsi="Garamond" w:cs="Arial"/>
          <w:color w:val="000000" w:themeColor="text1"/>
        </w:rPr>
      </w:pPr>
      <w:r w:rsidRPr="000113B8">
        <w:rPr>
          <w:rFonts w:ascii="Garamond" w:eastAsia="Batang" w:hAnsi="Garamond" w:cs="Arial"/>
          <w:color w:val="000000" w:themeColor="text1"/>
        </w:rPr>
        <w:t xml:space="preserve">El </w:t>
      </w:r>
      <w:r w:rsidRPr="000113B8">
        <w:rPr>
          <w:rFonts w:ascii="Garamond" w:eastAsia="Batang" w:hAnsi="Garamond" w:cs="Arial"/>
          <w:b/>
          <w:bCs/>
          <w:color w:val="000000" w:themeColor="text1"/>
        </w:rPr>
        <w:t>Fondo de Desarrollo Rural de Sumapaz</w:t>
      </w:r>
      <w:r w:rsidRPr="000113B8">
        <w:rPr>
          <w:rFonts w:ascii="Garamond" w:eastAsia="Batang" w:hAnsi="Garamond" w:cs="Arial"/>
          <w:color w:val="000000" w:themeColor="text1"/>
        </w:rPr>
        <w:t xml:space="preserve">, </w:t>
      </w:r>
      <w:r w:rsidRPr="000113B8">
        <w:rPr>
          <w:rFonts w:ascii="Garamond" w:hAnsi="Garamond" w:cs="Arial"/>
          <w:color w:val="000000" w:themeColor="text1"/>
        </w:rPr>
        <w:t xml:space="preserve">hace constar que se ha realizado el análisis necesario para conocer el sector del presente proceso contractual, en cumplimiento del artículo 2.2.1.1.1.6.1 del Decreto Nacional 1082 de 2015. De la misma forma, se hace constar que se evalúa la promoción del acceso a las </w:t>
      </w:r>
      <w:proofErr w:type="spellStart"/>
      <w:r w:rsidRPr="000113B8">
        <w:rPr>
          <w:rFonts w:ascii="Garamond" w:hAnsi="Garamond" w:cs="Arial"/>
          <w:color w:val="000000" w:themeColor="text1"/>
        </w:rPr>
        <w:t>Mipyme</w:t>
      </w:r>
      <w:proofErr w:type="spellEnd"/>
      <w:r w:rsidRPr="000113B8">
        <w:rPr>
          <w:rFonts w:ascii="Garamond" w:hAnsi="Garamond" w:cs="Arial"/>
          <w:color w:val="000000" w:themeColor="text1"/>
        </w:rPr>
        <w:t xml:space="preserve"> al mercado de compras públicas establecido en el artículo 33 de la Ley 2069 de 2020</w:t>
      </w:r>
      <w:r w:rsidRPr="000113B8">
        <w:rPr>
          <w:rFonts w:ascii="Garamond" w:hAnsi="Garamond" w:cs="Arial"/>
          <w:color w:val="000000" w:themeColor="text1"/>
          <w:vertAlign w:val="superscript"/>
        </w:rPr>
        <w:footnoteReference w:id="16"/>
      </w:r>
      <w:r w:rsidRPr="000113B8">
        <w:rPr>
          <w:rFonts w:ascii="Garamond" w:hAnsi="Garamond" w:cs="Arial"/>
          <w:color w:val="000000" w:themeColor="text1"/>
        </w:rPr>
        <w:t>.</w:t>
      </w:r>
    </w:p>
    <w:p w14:paraId="39983E5B" w14:textId="77777777" w:rsidR="006D367F" w:rsidRPr="000113B8" w:rsidRDefault="006D367F" w:rsidP="006D367F">
      <w:pPr>
        <w:pBdr>
          <w:top w:val="nil"/>
          <w:left w:val="nil"/>
          <w:bottom w:val="nil"/>
          <w:right w:val="nil"/>
          <w:between w:val="nil"/>
        </w:pBdr>
        <w:ind w:right="51" w:hanging="2"/>
        <w:jc w:val="both"/>
        <w:rPr>
          <w:rFonts w:ascii="Garamond" w:hAnsi="Garamond" w:cs="Arial"/>
          <w:color w:val="000000" w:themeColor="text1"/>
        </w:rPr>
      </w:pPr>
    </w:p>
    <w:p w14:paraId="209D0C6A" w14:textId="77777777" w:rsidR="006D367F" w:rsidRPr="000113B8" w:rsidRDefault="006D367F" w:rsidP="006D367F">
      <w:pPr>
        <w:tabs>
          <w:tab w:val="left" w:pos="567"/>
        </w:tabs>
        <w:ind w:right="51"/>
        <w:jc w:val="both"/>
        <w:rPr>
          <w:rFonts w:ascii="Garamond" w:hAnsi="Garamond" w:cs="Arial"/>
          <w:bCs/>
          <w:color w:val="000000" w:themeColor="text1"/>
        </w:rPr>
      </w:pPr>
      <w:r w:rsidRPr="000113B8">
        <w:rPr>
          <w:rFonts w:ascii="Garamond" w:hAnsi="Garamond" w:cs="Arial"/>
          <w:bCs/>
          <w:color w:val="000000" w:themeColor="text1"/>
        </w:rPr>
        <w:t>Que el Decreto Nacional 957 del 05 de junio de 2019, emitido por el Ministerio de Comercio, Industria y Turismo, establece en el artículo 2.2.1.13.2.2 Rangos para la Definición del Tamaño Empresarial. Para efectos de la clasificación del tamaño empresarial se utilizarán, con base en el criterio previsto en el artículo anterior, los siguientes rangos para determinar el valor de los ingresos por actividades ordinarias anuales de acuerdo con el sector económico de que se trate:</w:t>
      </w:r>
    </w:p>
    <w:p w14:paraId="43F212CD" w14:textId="77777777" w:rsidR="006D367F" w:rsidRPr="000113B8" w:rsidRDefault="006D367F" w:rsidP="006D367F">
      <w:pPr>
        <w:tabs>
          <w:tab w:val="left" w:pos="567"/>
        </w:tabs>
        <w:ind w:right="51"/>
        <w:jc w:val="both"/>
        <w:rPr>
          <w:rFonts w:ascii="Garamond" w:hAnsi="Garamond" w:cs="Arial"/>
          <w:bCs/>
          <w:color w:val="000000" w:themeColor="text1"/>
        </w:rPr>
      </w:pPr>
    </w:p>
    <w:tbl>
      <w:tblPr>
        <w:tblStyle w:val="Tablanormal11"/>
        <w:tblW w:w="4904" w:type="pct"/>
        <w:tblLook w:val="04A0" w:firstRow="1" w:lastRow="0" w:firstColumn="1" w:lastColumn="0" w:noHBand="0" w:noVBand="1"/>
      </w:tblPr>
      <w:tblGrid>
        <w:gridCol w:w="1732"/>
        <w:gridCol w:w="2360"/>
        <w:gridCol w:w="2342"/>
        <w:gridCol w:w="2736"/>
      </w:tblGrid>
      <w:tr w:rsidR="009A7F8F" w:rsidRPr="000113B8" w14:paraId="46524410" w14:textId="77777777" w:rsidTr="00EC7684">
        <w:trPr>
          <w:cnfStyle w:val="100000000000" w:firstRow="1" w:lastRow="0" w:firstColumn="0" w:lastColumn="0" w:oddVBand="0" w:evenVBand="0" w:oddHBand="0" w:evenHBand="0" w:firstRowFirstColumn="0" w:firstRowLastColumn="0" w:lastRowFirstColumn="0" w:lastRowLastColumn="0"/>
          <w:trHeight w:val="210"/>
        </w:trPr>
        <w:tc>
          <w:tcPr>
            <w:cnfStyle w:val="001000000000" w:firstRow="0" w:lastRow="0" w:firstColumn="1" w:lastColumn="0" w:oddVBand="0" w:evenVBand="0" w:oddHBand="0" w:evenHBand="0" w:firstRowFirstColumn="0" w:firstRowLastColumn="0" w:lastRowFirstColumn="0" w:lastRowLastColumn="0"/>
            <w:tcW w:w="944" w:type="pct"/>
            <w:hideMark/>
          </w:tcPr>
          <w:p w14:paraId="38C82993" w14:textId="77777777" w:rsidR="006D367F" w:rsidRPr="000113B8" w:rsidRDefault="006D367F" w:rsidP="00EC7684">
            <w:pPr>
              <w:tabs>
                <w:tab w:val="left" w:pos="567"/>
              </w:tabs>
              <w:ind w:right="-136"/>
              <w:jc w:val="center"/>
              <w:rPr>
                <w:rFonts w:ascii="Garamond" w:hAnsi="Garamond" w:cs="Arial"/>
                <w:bCs w:val="0"/>
                <w:color w:val="000000" w:themeColor="text1"/>
              </w:rPr>
            </w:pPr>
            <w:r w:rsidRPr="000113B8">
              <w:rPr>
                <w:rFonts w:ascii="Garamond" w:hAnsi="Garamond" w:cs="Arial"/>
                <w:color w:val="000000" w:themeColor="text1"/>
              </w:rPr>
              <w:t>SECTOR</w:t>
            </w:r>
          </w:p>
        </w:tc>
        <w:tc>
          <w:tcPr>
            <w:tcW w:w="1287" w:type="pct"/>
            <w:hideMark/>
          </w:tcPr>
          <w:p w14:paraId="71EFC3D7" w14:textId="77777777" w:rsidR="006D367F" w:rsidRPr="000113B8" w:rsidRDefault="006D367F" w:rsidP="00EC7684">
            <w:pPr>
              <w:tabs>
                <w:tab w:val="left" w:pos="567"/>
              </w:tabs>
              <w:ind w:left="-39"/>
              <w:jc w:val="center"/>
              <w:cnfStyle w:val="100000000000" w:firstRow="1" w:lastRow="0" w:firstColumn="0" w:lastColumn="0" w:oddVBand="0" w:evenVBand="0" w:oddHBand="0" w:evenHBand="0" w:firstRowFirstColumn="0" w:firstRowLastColumn="0" w:lastRowFirstColumn="0" w:lastRowLastColumn="0"/>
              <w:rPr>
                <w:rFonts w:ascii="Garamond" w:hAnsi="Garamond" w:cs="Arial"/>
                <w:bCs w:val="0"/>
                <w:color w:val="000000" w:themeColor="text1"/>
              </w:rPr>
            </w:pPr>
            <w:r w:rsidRPr="000113B8">
              <w:rPr>
                <w:rFonts w:ascii="Garamond" w:hAnsi="Garamond" w:cs="Arial"/>
                <w:color w:val="000000" w:themeColor="text1"/>
              </w:rPr>
              <w:t>MICRO</w:t>
            </w:r>
          </w:p>
        </w:tc>
        <w:tc>
          <w:tcPr>
            <w:tcW w:w="1277" w:type="pct"/>
            <w:hideMark/>
          </w:tcPr>
          <w:p w14:paraId="16390E56" w14:textId="77777777" w:rsidR="006D367F" w:rsidRPr="000113B8" w:rsidRDefault="006D367F" w:rsidP="00EC7684">
            <w:pPr>
              <w:tabs>
                <w:tab w:val="left" w:pos="567"/>
              </w:tabs>
              <w:ind w:right="-22"/>
              <w:jc w:val="center"/>
              <w:cnfStyle w:val="100000000000" w:firstRow="1" w:lastRow="0" w:firstColumn="0" w:lastColumn="0" w:oddVBand="0" w:evenVBand="0" w:oddHBand="0" w:evenHBand="0" w:firstRowFirstColumn="0" w:firstRowLastColumn="0" w:lastRowFirstColumn="0" w:lastRowLastColumn="0"/>
              <w:rPr>
                <w:rFonts w:ascii="Garamond" w:hAnsi="Garamond" w:cs="Arial"/>
                <w:bCs w:val="0"/>
                <w:color w:val="000000" w:themeColor="text1"/>
              </w:rPr>
            </w:pPr>
            <w:r w:rsidRPr="000113B8">
              <w:rPr>
                <w:rFonts w:ascii="Garamond" w:hAnsi="Garamond" w:cs="Arial"/>
                <w:color w:val="000000" w:themeColor="text1"/>
              </w:rPr>
              <w:t>PEQUEÑA</w:t>
            </w:r>
          </w:p>
        </w:tc>
        <w:tc>
          <w:tcPr>
            <w:tcW w:w="1492" w:type="pct"/>
            <w:hideMark/>
          </w:tcPr>
          <w:p w14:paraId="25E7BD34" w14:textId="77777777" w:rsidR="006D367F" w:rsidRPr="000113B8" w:rsidRDefault="006D367F" w:rsidP="00EC7684">
            <w:pPr>
              <w:tabs>
                <w:tab w:val="left" w:pos="567"/>
                <w:tab w:val="left" w:pos="1936"/>
              </w:tabs>
              <w:jc w:val="center"/>
              <w:cnfStyle w:val="100000000000" w:firstRow="1" w:lastRow="0" w:firstColumn="0" w:lastColumn="0" w:oddVBand="0" w:evenVBand="0" w:oddHBand="0" w:evenHBand="0" w:firstRowFirstColumn="0" w:firstRowLastColumn="0" w:lastRowFirstColumn="0" w:lastRowLastColumn="0"/>
              <w:rPr>
                <w:rFonts w:ascii="Garamond" w:hAnsi="Garamond" w:cs="Arial"/>
                <w:bCs w:val="0"/>
                <w:color w:val="000000" w:themeColor="text1"/>
              </w:rPr>
            </w:pPr>
            <w:r w:rsidRPr="000113B8">
              <w:rPr>
                <w:rFonts w:ascii="Garamond" w:hAnsi="Garamond" w:cs="Arial"/>
                <w:color w:val="000000" w:themeColor="text1"/>
              </w:rPr>
              <w:t>MEDIANA</w:t>
            </w:r>
          </w:p>
        </w:tc>
      </w:tr>
      <w:tr w:rsidR="009A7F8F" w:rsidRPr="000113B8" w14:paraId="3D358832" w14:textId="77777777" w:rsidTr="00EC7684">
        <w:trPr>
          <w:cnfStyle w:val="000000100000" w:firstRow="0" w:lastRow="0" w:firstColumn="0" w:lastColumn="0" w:oddVBand="0" w:evenVBand="0" w:oddHBand="1" w:evenHBand="0" w:firstRowFirstColumn="0" w:firstRowLastColumn="0" w:lastRowFirstColumn="0" w:lastRowLastColumn="0"/>
          <w:trHeight w:val="505"/>
        </w:trPr>
        <w:tc>
          <w:tcPr>
            <w:cnfStyle w:val="001000000000" w:firstRow="0" w:lastRow="0" w:firstColumn="1" w:lastColumn="0" w:oddVBand="0" w:evenVBand="0" w:oddHBand="0" w:evenHBand="0" w:firstRowFirstColumn="0" w:firstRowLastColumn="0" w:lastRowFirstColumn="0" w:lastRowLastColumn="0"/>
            <w:tcW w:w="944" w:type="pct"/>
            <w:hideMark/>
          </w:tcPr>
          <w:p w14:paraId="5D0A0149" w14:textId="77777777" w:rsidR="006D367F" w:rsidRPr="000113B8" w:rsidRDefault="006D367F" w:rsidP="00EC7684">
            <w:pPr>
              <w:tabs>
                <w:tab w:val="left" w:pos="22"/>
              </w:tabs>
              <w:ind w:right="-136"/>
              <w:rPr>
                <w:rFonts w:ascii="Garamond" w:hAnsi="Garamond" w:cs="Arial"/>
                <w:bCs w:val="0"/>
                <w:color w:val="000000" w:themeColor="text1"/>
              </w:rPr>
            </w:pPr>
            <w:r w:rsidRPr="000113B8">
              <w:rPr>
                <w:rFonts w:ascii="Garamond" w:hAnsi="Garamond" w:cs="Arial"/>
                <w:color w:val="000000" w:themeColor="text1"/>
              </w:rPr>
              <w:t>Manufacturero</w:t>
            </w:r>
          </w:p>
        </w:tc>
        <w:tc>
          <w:tcPr>
            <w:tcW w:w="1287" w:type="pct"/>
            <w:hideMark/>
          </w:tcPr>
          <w:p w14:paraId="63E047CD" w14:textId="77777777" w:rsidR="006D367F" w:rsidRPr="000113B8" w:rsidRDefault="006D367F" w:rsidP="00EC7684">
            <w:pPr>
              <w:tabs>
                <w:tab w:val="left" w:pos="567"/>
              </w:tabs>
              <w:ind w:left="-81" w:right="-63"/>
              <w:jc w:val="both"/>
              <w:cnfStyle w:val="000000100000" w:firstRow="0" w:lastRow="0" w:firstColumn="0" w:lastColumn="0" w:oddVBand="0" w:evenVBand="0" w:oddHBand="1" w:evenHBand="0" w:firstRowFirstColumn="0" w:firstRowLastColumn="0" w:lastRowFirstColumn="0" w:lastRowLastColumn="0"/>
              <w:rPr>
                <w:rFonts w:ascii="Garamond" w:hAnsi="Garamond" w:cs="Arial"/>
                <w:bCs/>
                <w:color w:val="000000" w:themeColor="text1"/>
                <w:lang w:val="pt-PT"/>
              </w:rPr>
            </w:pPr>
            <w:r w:rsidRPr="000113B8">
              <w:rPr>
                <w:rFonts w:ascii="Garamond" w:hAnsi="Garamond" w:cs="Arial"/>
                <w:bCs/>
                <w:color w:val="000000" w:themeColor="text1"/>
                <w:lang w:val="pt-PT"/>
              </w:rPr>
              <w:t>Inferior o igual a 23.563 UVT.</w:t>
            </w:r>
          </w:p>
        </w:tc>
        <w:tc>
          <w:tcPr>
            <w:tcW w:w="1277" w:type="pct"/>
            <w:hideMark/>
          </w:tcPr>
          <w:p w14:paraId="2E2F6E19" w14:textId="77777777" w:rsidR="006D367F" w:rsidRPr="000113B8" w:rsidRDefault="006D367F" w:rsidP="00EC7684">
            <w:pPr>
              <w:tabs>
                <w:tab w:val="left" w:pos="567"/>
              </w:tabs>
              <w:jc w:val="both"/>
              <w:cnfStyle w:val="000000100000" w:firstRow="0" w:lastRow="0" w:firstColumn="0" w:lastColumn="0" w:oddVBand="0" w:evenVBand="0" w:oddHBand="1" w:evenHBand="0" w:firstRowFirstColumn="0" w:firstRowLastColumn="0" w:lastRowFirstColumn="0" w:lastRowLastColumn="0"/>
              <w:rPr>
                <w:rFonts w:ascii="Garamond" w:hAnsi="Garamond" w:cs="Arial"/>
                <w:bCs/>
                <w:color w:val="000000" w:themeColor="text1"/>
                <w:lang w:val="pt-PT"/>
              </w:rPr>
            </w:pPr>
            <w:r w:rsidRPr="000113B8">
              <w:rPr>
                <w:rFonts w:ascii="Garamond" w:hAnsi="Garamond" w:cs="Arial"/>
                <w:bCs/>
                <w:color w:val="000000" w:themeColor="text1"/>
                <w:lang w:val="pt-PT"/>
              </w:rPr>
              <w:t>Superior a 23.563 UVT e inferior o igual a 204.995 UVT.</w:t>
            </w:r>
          </w:p>
        </w:tc>
        <w:tc>
          <w:tcPr>
            <w:tcW w:w="1492" w:type="pct"/>
            <w:hideMark/>
          </w:tcPr>
          <w:p w14:paraId="6C9F7AC3" w14:textId="77777777" w:rsidR="006D367F" w:rsidRPr="000113B8" w:rsidRDefault="006D367F" w:rsidP="00EC7684">
            <w:pPr>
              <w:tabs>
                <w:tab w:val="left" w:pos="567"/>
                <w:tab w:val="left" w:pos="1936"/>
              </w:tabs>
              <w:jc w:val="both"/>
              <w:cnfStyle w:val="000000100000" w:firstRow="0" w:lastRow="0" w:firstColumn="0" w:lastColumn="0" w:oddVBand="0" w:evenVBand="0" w:oddHBand="1" w:evenHBand="0" w:firstRowFirstColumn="0" w:firstRowLastColumn="0" w:lastRowFirstColumn="0" w:lastRowLastColumn="0"/>
              <w:rPr>
                <w:rFonts w:ascii="Garamond" w:hAnsi="Garamond" w:cs="Arial"/>
                <w:bCs/>
                <w:color w:val="000000" w:themeColor="text1"/>
                <w:lang w:val="pt-PT"/>
              </w:rPr>
            </w:pPr>
            <w:r w:rsidRPr="000113B8">
              <w:rPr>
                <w:rFonts w:ascii="Garamond" w:hAnsi="Garamond" w:cs="Arial"/>
                <w:bCs/>
                <w:color w:val="000000" w:themeColor="text1"/>
                <w:lang w:val="pt-PT"/>
              </w:rPr>
              <w:t>Superior a 204.995 UVT e inferior o igual a 1’736.565 UVT.</w:t>
            </w:r>
          </w:p>
        </w:tc>
      </w:tr>
      <w:tr w:rsidR="009A7F8F" w:rsidRPr="000113B8" w14:paraId="6DF6C230" w14:textId="77777777" w:rsidTr="00EC7684">
        <w:trPr>
          <w:trHeight w:val="476"/>
        </w:trPr>
        <w:tc>
          <w:tcPr>
            <w:cnfStyle w:val="001000000000" w:firstRow="0" w:lastRow="0" w:firstColumn="1" w:lastColumn="0" w:oddVBand="0" w:evenVBand="0" w:oddHBand="0" w:evenHBand="0" w:firstRowFirstColumn="0" w:firstRowLastColumn="0" w:lastRowFirstColumn="0" w:lastRowLastColumn="0"/>
            <w:tcW w:w="944" w:type="pct"/>
            <w:hideMark/>
          </w:tcPr>
          <w:p w14:paraId="49B6BBA8" w14:textId="77777777" w:rsidR="006D367F" w:rsidRPr="000113B8" w:rsidRDefault="006D367F" w:rsidP="00EC7684">
            <w:pPr>
              <w:tabs>
                <w:tab w:val="left" w:pos="22"/>
              </w:tabs>
              <w:ind w:right="-136"/>
              <w:rPr>
                <w:rFonts w:ascii="Garamond" w:hAnsi="Garamond" w:cs="Arial"/>
                <w:bCs w:val="0"/>
                <w:color w:val="000000" w:themeColor="text1"/>
              </w:rPr>
            </w:pPr>
            <w:r w:rsidRPr="000113B8">
              <w:rPr>
                <w:rFonts w:ascii="Garamond" w:hAnsi="Garamond" w:cs="Arial"/>
                <w:color w:val="000000" w:themeColor="text1"/>
              </w:rPr>
              <w:t>Servicios</w:t>
            </w:r>
          </w:p>
        </w:tc>
        <w:tc>
          <w:tcPr>
            <w:tcW w:w="1287" w:type="pct"/>
            <w:hideMark/>
          </w:tcPr>
          <w:p w14:paraId="0249FF8A" w14:textId="77777777" w:rsidR="006D367F" w:rsidRPr="000113B8" w:rsidRDefault="006D367F" w:rsidP="00EC7684">
            <w:pPr>
              <w:tabs>
                <w:tab w:val="left" w:pos="567"/>
              </w:tabs>
              <w:ind w:left="-81" w:right="-63"/>
              <w:jc w:val="both"/>
              <w:cnfStyle w:val="000000000000" w:firstRow="0" w:lastRow="0" w:firstColumn="0" w:lastColumn="0" w:oddVBand="0" w:evenVBand="0" w:oddHBand="0" w:evenHBand="0" w:firstRowFirstColumn="0" w:firstRowLastColumn="0" w:lastRowFirstColumn="0" w:lastRowLastColumn="0"/>
              <w:rPr>
                <w:rFonts w:ascii="Garamond" w:hAnsi="Garamond" w:cs="Arial"/>
                <w:bCs/>
                <w:color w:val="000000" w:themeColor="text1"/>
                <w:lang w:val="pt-PT"/>
              </w:rPr>
            </w:pPr>
            <w:r w:rsidRPr="000113B8">
              <w:rPr>
                <w:rFonts w:ascii="Garamond" w:hAnsi="Garamond" w:cs="Arial"/>
                <w:bCs/>
                <w:color w:val="000000" w:themeColor="text1"/>
                <w:lang w:val="pt-PT"/>
              </w:rPr>
              <w:t>Inferior o igual a 32.988 UVT.</w:t>
            </w:r>
          </w:p>
        </w:tc>
        <w:tc>
          <w:tcPr>
            <w:tcW w:w="1277" w:type="pct"/>
            <w:hideMark/>
          </w:tcPr>
          <w:p w14:paraId="6BDD0D00" w14:textId="77777777" w:rsidR="006D367F" w:rsidRPr="000113B8" w:rsidRDefault="006D367F" w:rsidP="00EC7684">
            <w:pPr>
              <w:tabs>
                <w:tab w:val="left" w:pos="567"/>
              </w:tabs>
              <w:ind w:left="-6"/>
              <w:jc w:val="both"/>
              <w:cnfStyle w:val="000000000000" w:firstRow="0" w:lastRow="0" w:firstColumn="0" w:lastColumn="0" w:oddVBand="0" w:evenVBand="0" w:oddHBand="0" w:evenHBand="0" w:firstRowFirstColumn="0" w:firstRowLastColumn="0" w:lastRowFirstColumn="0" w:lastRowLastColumn="0"/>
              <w:rPr>
                <w:rFonts w:ascii="Garamond" w:hAnsi="Garamond" w:cs="Arial"/>
                <w:bCs/>
                <w:color w:val="000000" w:themeColor="text1"/>
                <w:lang w:val="pt-PT"/>
              </w:rPr>
            </w:pPr>
            <w:r w:rsidRPr="000113B8">
              <w:rPr>
                <w:rFonts w:ascii="Garamond" w:hAnsi="Garamond" w:cs="Arial"/>
                <w:bCs/>
                <w:color w:val="000000" w:themeColor="text1"/>
                <w:lang w:val="pt-PT"/>
              </w:rPr>
              <w:t>Superior a 32.988 UVT e inferior o igual a 131.951 UVT.</w:t>
            </w:r>
          </w:p>
        </w:tc>
        <w:tc>
          <w:tcPr>
            <w:tcW w:w="1492" w:type="pct"/>
            <w:hideMark/>
          </w:tcPr>
          <w:p w14:paraId="1A4897DD" w14:textId="77777777" w:rsidR="006D367F" w:rsidRPr="000113B8" w:rsidRDefault="006D367F" w:rsidP="00EC7684">
            <w:pPr>
              <w:tabs>
                <w:tab w:val="left" w:pos="567"/>
                <w:tab w:val="left" w:pos="1936"/>
              </w:tabs>
              <w:jc w:val="both"/>
              <w:cnfStyle w:val="000000000000" w:firstRow="0" w:lastRow="0" w:firstColumn="0" w:lastColumn="0" w:oddVBand="0" w:evenVBand="0" w:oddHBand="0" w:evenHBand="0" w:firstRowFirstColumn="0" w:firstRowLastColumn="0" w:lastRowFirstColumn="0" w:lastRowLastColumn="0"/>
              <w:rPr>
                <w:rFonts w:ascii="Garamond" w:hAnsi="Garamond" w:cs="Arial"/>
                <w:bCs/>
                <w:color w:val="000000" w:themeColor="text1"/>
                <w:lang w:val="pt-PT"/>
              </w:rPr>
            </w:pPr>
            <w:r w:rsidRPr="000113B8">
              <w:rPr>
                <w:rFonts w:ascii="Garamond" w:hAnsi="Garamond" w:cs="Arial"/>
                <w:bCs/>
                <w:color w:val="000000" w:themeColor="text1"/>
                <w:lang w:val="pt-PT"/>
              </w:rPr>
              <w:t>Superior a 131.951 UVT e inferior o igual a 483.034 UVT.</w:t>
            </w:r>
          </w:p>
        </w:tc>
      </w:tr>
      <w:tr w:rsidR="009A7F8F" w:rsidRPr="000113B8" w14:paraId="2361D8DA" w14:textId="77777777" w:rsidTr="00EC7684">
        <w:trPr>
          <w:cnfStyle w:val="000000100000" w:firstRow="0" w:lastRow="0" w:firstColumn="0" w:lastColumn="0" w:oddVBand="0" w:evenVBand="0" w:oddHBand="1" w:evenHBand="0" w:firstRowFirstColumn="0" w:firstRowLastColumn="0" w:lastRowFirstColumn="0" w:lastRowLastColumn="0"/>
          <w:trHeight w:val="471"/>
        </w:trPr>
        <w:tc>
          <w:tcPr>
            <w:cnfStyle w:val="001000000000" w:firstRow="0" w:lastRow="0" w:firstColumn="1" w:lastColumn="0" w:oddVBand="0" w:evenVBand="0" w:oddHBand="0" w:evenHBand="0" w:firstRowFirstColumn="0" w:firstRowLastColumn="0" w:lastRowFirstColumn="0" w:lastRowLastColumn="0"/>
            <w:tcW w:w="944" w:type="pct"/>
            <w:hideMark/>
          </w:tcPr>
          <w:p w14:paraId="2E84A187" w14:textId="77777777" w:rsidR="006D367F" w:rsidRPr="000113B8" w:rsidRDefault="006D367F" w:rsidP="00EC7684">
            <w:pPr>
              <w:tabs>
                <w:tab w:val="left" w:pos="22"/>
              </w:tabs>
              <w:ind w:right="-136"/>
              <w:rPr>
                <w:rFonts w:ascii="Garamond" w:hAnsi="Garamond" w:cs="Arial"/>
                <w:bCs w:val="0"/>
                <w:color w:val="000000" w:themeColor="text1"/>
              </w:rPr>
            </w:pPr>
            <w:r w:rsidRPr="000113B8">
              <w:rPr>
                <w:rFonts w:ascii="Garamond" w:hAnsi="Garamond" w:cs="Arial"/>
                <w:color w:val="000000" w:themeColor="text1"/>
              </w:rPr>
              <w:lastRenderedPageBreak/>
              <w:t>Comercio</w:t>
            </w:r>
          </w:p>
        </w:tc>
        <w:tc>
          <w:tcPr>
            <w:tcW w:w="1287" w:type="pct"/>
            <w:hideMark/>
          </w:tcPr>
          <w:p w14:paraId="313575B6" w14:textId="77777777" w:rsidR="006D367F" w:rsidRPr="000113B8" w:rsidRDefault="006D367F" w:rsidP="00EC7684">
            <w:pPr>
              <w:tabs>
                <w:tab w:val="left" w:pos="567"/>
              </w:tabs>
              <w:ind w:left="-81" w:right="-63"/>
              <w:jc w:val="both"/>
              <w:cnfStyle w:val="000000100000" w:firstRow="0" w:lastRow="0" w:firstColumn="0" w:lastColumn="0" w:oddVBand="0" w:evenVBand="0" w:oddHBand="1" w:evenHBand="0" w:firstRowFirstColumn="0" w:firstRowLastColumn="0" w:lastRowFirstColumn="0" w:lastRowLastColumn="0"/>
              <w:rPr>
                <w:rFonts w:ascii="Garamond" w:hAnsi="Garamond" w:cs="Arial"/>
                <w:bCs/>
                <w:color w:val="000000" w:themeColor="text1"/>
                <w:lang w:val="pt-PT"/>
              </w:rPr>
            </w:pPr>
            <w:r w:rsidRPr="000113B8">
              <w:rPr>
                <w:rFonts w:ascii="Garamond" w:hAnsi="Garamond" w:cs="Arial"/>
                <w:bCs/>
                <w:color w:val="000000" w:themeColor="text1"/>
                <w:lang w:val="pt-PT"/>
              </w:rPr>
              <w:t>Inferior o igual a 44.769 UVT.</w:t>
            </w:r>
          </w:p>
        </w:tc>
        <w:tc>
          <w:tcPr>
            <w:tcW w:w="1277" w:type="pct"/>
            <w:hideMark/>
          </w:tcPr>
          <w:p w14:paraId="6AF18D66" w14:textId="77777777" w:rsidR="006D367F" w:rsidRPr="000113B8" w:rsidRDefault="006D367F" w:rsidP="00EC7684">
            <w:pPr>
              <w:tabs>
                <w:tab w:val="left" w:pos="567"/>
              </w:tabs>
              <w:ind w:left="-6"/>
              <w:jc w:val="both"/>
              <w:cnfStyle w:val="000000100000" w:firstRow="0" w:lastRow="0" w:firstColumn="0" w:lastColumn="0" w:oddVBand="0" w:evenVBand="0" w:oddHBand="1" w:evenHBand="0" w:firstRowFirstColumn="0" w:firstRowLastColumn="0" w:lastRowFirstColumn="0" w:lastRowLastColumn="0"/>
              <w:rPr>
                <w:rFonts w:ascii="Garamond" w:hAnsi="Garamond" w:cs="Arial"/>
                <w:bCs/>
                <w:color w:val="000000" w:themeColor="text1"/>
                <w:lang w:val="pt-PT"/>
              </w:rPr>
            </w:pPr>
            <w:r w:rsidRPr="000113B8">
              <w:rPr>
                <w:rFonts w:ascii="Garamond" w:hAnsi="Garamond" w:cs="Arial"/>
                <w:bCs/>
                <w:color w:val="000000" w:themeColor="text1"/>
                <w:lang w:val="pt-PT"/>
              </w:rPr>
              <w:t>Superior a 44.769 e inferior o igual a 431.196 UVT.</w:t>
            </w:r>
          </w:p>
        </w:tc>
        <w:tc>
          <w:tcPr>
            <w:tcW w:w="1492" w:type="pct"/>
            <w:hideMark/>
          </w:tcPr>
          <w:p w14:paraId="4FCA6A6E" w14:textId="77777777" w:rsidR="006D367F" w:rsidRPr="000113B8" w:rsidRDefault="006D367F" w:rsidP="00EC7684">
            <w:pPr>
              <w:tabs>
                <w:tab w:val="left" w:pos="567"/>
                <w:tab w:val="left" w:pos="1936"/>
              </w:tabs>
              <w:jc w:val="both"/>
              <w:cnfStyle w:val="000000100000" w:firstRow="0" w:lastRow="0" w:firstColumn="0" w:lastColumn="0" w:oddVBand="0" w:evenVBand="0" w:oddHBand="1" w:evenHBand="0" w:firstRowFirstColumn="0" w:firstRowLastColumn="0" w:lastRowFirstColumn="0" w:lastRowLastColumn="0"/>
              <w:rPr>
                <w:rFonts w:ascii="Garamond" w:hAnsi="Garamond" w:cs="Arial"/>
                <w:bCs/>
                <w:color w:val="000000" w:themeColor="text1"/>
                <w:lang w:val="pt-PT"/>
              </w:rPr>
            </w:pPr>
            <w:r w:rsidRPr="000113B8">
              <w:rPr>
                <w:rFonts w:ascii="Garamond" w:hAnsi="Garamond" w:cs="Arial"/>
                <w:bCs/>
                <w:color w:val="000000" w:themeColor="text1"/>
                <w:lang w:val="pt-PT"/>
              </w:rPr>
              <w:t>Superior a 431.196 UVT e inferior o igual a 2’160.692 UVT.</w:t>
            </w:r>
          </w:p>
        </w:tc>
      </w:tr>
    </w:tbl>
    <w:p w14:paraId="7BC8E355" w14:textId="77777777" w:rsidR="006D367F" w:rsidRPr="000113B8" w:rsidRDefault="006D367F" w:rsidP="006D367F">
      <w:pPr>
        <w:ind w:right="57"/>
        <w:jc w:val="center"/>
        <w:rPr>
          <w:rFonts w:ascii="Garamond" w:eastAsia="Batang" w:hAnsi="Garamond" w:cs="Arial"/>
          <w:bCs/>
          <w:color w:val="000000" w:themeColor="text1"/>
        </w:rPr>
      </w:pPr>
      <w:r w:rsidRPr="000113B8">
        <w:rPr>
          <w:rFonts w:ascii="Garamond" w:hAnsi="Garamond" w:cs="Arial"/>
          <w:bCs/>
          <w:color w:val="000000" w:themeColor="text1"/>
          <w:lang w:val="pt-PT"/>
        </w:rPr>
        <w:t> </w:t>
      </w:r>
      <w:r w:rsidRPr="000113B8">
        <w:rPr>
          <w:rFonts w:ascii="Garamond" w:hAnsi="Garamond" w:cs="Arial"/>
          <w:bCs/>
          <w:color w:val="000000" w:themeColor="text1"/>
          <w:lang w:val="pt-PT"/>
        </w:rPr>
        <w:tab/>
      </w:r>
      <w:r w:rsidRPr="000113B8">
        <w:rPr>
          <w:rFonts w:ascii="Garamond" w:eastAsia="Batang" w:hAnsi="Garamond" w:cs="Arial"/>
          <w:bCs/>
          <w:color w:val="000000" w:themeColor="text1"/>
        </w:rPr>
        <w:t>Fuente: Elaboración intermediario de seguros de la entidad JARGU S.A. CORREDORES DE SEGUROS</w:t>
      </w:r>
    </w:p>
    <w:p w14:paraId="64C6204C" w14:textId="77777777" w:rsidR="006D367F" w:rsidRPr="000113B8" w:rsidRDefault="006D367F" w:rsidP="006D367F">
      <w:pPr>
        <w:ind w:right="57"/>
        <w:jc w:val="center"/>
        <w:rPr>
          <w:rFonts w:ascii="Garamond" w:eastAsia="Batang" w:hAnsi="Garamond" w:cs="Arial"/>
          <w:bCs/>
          <w:color w:val="000000" w:themeColor="text1"/>
        </w:rPr>
      </w:pPr>
    </w:p>
    <w:p w14:paraId="1FD1FD85" w14:textId="77777777" w:rsidR="006D367F" w:rsidRPr="000113B8" w:rsidRDefault="006D367F" w:rsidP="006D367F">
      <w:pPr>
        <w:tabs>
          <w:tab w:val="left" w:pos="567"/>
        </w:tabs>
        <w:ind w:right="191"/>
        <w:jc w:val="both"/>
        <w:rPr>
          <w:rFonts w:ascii="Garamond" w:hAnsi="Garamond" w:cs="Arial"/>
          <w:bCs/>
          <w:color w:val="000000" w:themeColor="text1"/>
        </w:rPr>
      </w:pPr>
      <w:bookmarkStart w:id="34" w:name="_Hlk219380448"/>
      <w:r w:rsidRPr="000113B8">
        <w:rPr>
          <w:rFonts w:ascii="Garamond" w:hAnsi="Garamond" w:cs="Arial"/>
          <w:bCs/>
          <w:color w:val="000000" w:themeColor="text1"/>
        </w:rPr>
        <w:t>Que según la Resolución 00238 del 15 de diciembre de 2025 de la Unidad Administrativa Especial Dirección de Impuestos y Aduanas Nacionales (DIAN), el UVT para el 2026 quedó en $52.374.</w:t>
      </w:r>
    </w:p>
    <w:p w14:paraId="55F79F19" w14:textId="77777777" w:rsidR="006D367F" w:rsidRPr="000113B8" w:rsidRDefault="006D367F" w:rsidP="006D367F">
      <w:pPr>
        <w:tabs>
          <w:tab w:val="left" w:pos="567"/>
        </w:tabs>
        <w:ind w:right="191"/>
        <w:jc w:val="both"/>
        <w:rPr>
          <w:rFonts w:ascii="Garamond" w:hAnsi="Garamond" w:cs="Arial"/>
          <w:bCs/>
          <w:color w:val="000000" w:themeColor="text1"/>
        </w:rPr>
      </w:pPr>
    </w:p>
    <w:bookmarkEnd w:id="34"/>
    <w:p w14:paraId="179F5C60" w14:textId="77777777" w:rsidR="006D367F" w:rsidRPr="000113B8" w:rsidRDefault="006D367F" w:rsidP="006D367F">
      <w:pPr>
        <w:tabs>
          <w:tab w:val="left" w:pos="567"/>
        </w:tabs>
        <w:ind w:right="51"/>
        <w:jc w:val="both"/>
        <w:rPr>
          <w:rFonts w:ascii="Garamond" w:hAnsi="Garamond" w:cs="Arial"/>
          <w:bCs/>
          <w:color w:val="000000" w:themeColor="text1"/>
        </w:rPr>
      </w:pPr>
      <w:r w:rsidRPr="000113B8">
        <w:rPr>
          <w:rFonts w:ascii="Garamond" w:hAnsi="Garamond" w:cs="Arial"/>
          <w:bCs/>
          <w:color w:val="000000" w:themeColor="text1"/>
        </w:rPr>
        <w:t>También precisa que para efectos de convertir en valores absolutos las cifras y valores expresados en UVT aplicables a las disposiciones relativas a los impuestos y obligaciones administrados por la DIAN, debe multiplicarse el número de las UVT por su valor y el resultado se aproxima de acuerdo con el procedimiento de aproximaciones establecido en el inciso 6 del artículo 868 del Estatuto Tributario.</w:t>
      </w:r>
    </w:p>
    <w:p w14:paraId="57A77DA1" w14:textId="77777777" w:rsidR="006D367F" w:rsidRPr="000113B8" w:rsidRDefault="006D367F" w:rsidP="006D367F">
      <w:pPr>
        <w:tabs>
          <w:tab w:val="left" w:pos="567"/>
        </w:tabs>
        <w:ind w:right="51"/>
        <w:jc w:val="both"/>
        <w:rPr>
          <w:rFonts w:ascii="Garamond" w:hAnsi="Garamond" w:cs="Arial"/>
          <w:bCs/>
          <w:color w:val="000000" w:themeColor="text1"/>
        </w:rPr>
      </w:pPr>
    </w:p>
    <w:p w14:paraId="4F8B7084" w14:textId="77777777" w:rsidR="006D367F" w:rsidRPr="000113B8" w:rsidRDefault="006D367F" w:rsidP="006D367F">
      <w:pPr>
        <w:tabs>
          <w:tab w:val="left" w:pos="567"/>
        </w:tabs>
        <w:ind w:right="51"/>
        <w:jc w:val="both"/>
        <w:rPr>
          <w:rFonts w:ascii="Garamond" w:hAnsi="Garamond" w:cs="Arial"/>
          <w:bCs/>
          <w:color w:val="000000" w:themeColor="text1"/>
        </w:rPr>
      </w:pPr>
      <w:r w:rsidRPr="000113B8">
        <w:rPr>
          <w:rFonts w:ascii="Garamond" w:hAnsi="Garamond" w:cs="Arial"/>
          <w:bCs/>
          <w:color w:val="000000" w:themeColor="text1"/>
        </w:rPr>
        <w:t>De acuerdo con lo anterior, los rangos para determinar el valor de los ingresos por actividades ordinarias anuales de acuerdo con el sector económico de que se trate quedan de la siguiente manera:</w:t>
      </w:r>
    </w:p>
    <w:p w14:paraId="3368486D" w14:textId="77777777" w:rsidR="006D367F" w:rsidRPr="000113B8" w:rsidRDefault="006D367F" w:rsidP="006D367F">
      <w:pPr>
        <w:tabs>
          <w:tab w:val="left" w:pos="567"/>
        </w:tabs>
        <w:ind w:right="51"/>
        <w:jc w:val="both"/>
        <w:rPr>
          <w:rFonts w:ascii="Garamond" w:hAnsi="Garamond" w:cs="Arial"/>
          <w:bCs/>
          <w:color w:val="000000" w:themeColor="text1"/>
        </w:rPr>
      </w:pPr>
    </w:p>
    <w:p w14:paraId="42AF5A95" w14:textId="77777777" w:rsidR="006D367F" w:rsidRPr="000113B8" w:rsidRDefault="006D367F" w:rsidP="006D367F">
      <w:pPr>
        <w:tabs>
          <w:tab w:val="left" w:pos="567"/>
        </w:tabs>
        <w:ind w:right="51"/>
        <w:jc w:val="center"/>
        <w:rPr>
          <w:rFonts w:ascii="Garamond" w:hAnsi="Garamond" w:cs="Arial"/>
          <w:bCs/>
          <w:color w:val="000000" w:themeColor="text1"/>
        </w:rPr>
      </w:pPr>
      <w:r w:rsidRPr="000113B8">
        <w:rPr>
          <w:rFonts w:ascii="Garamond" w:hAnsi="Garamond" w:cs="Arial"/>
          <w:noProof/>
          <w:color w:val="000000" w:themeColor="text1"/>
        </w:rPr>
        <w:drawing>
          <wp:inline distT="0" distB="0" distL="0" distR="0" wp14:anchorId="4F3F8CC7" wp14:editId="54087E17">
            <wp:extent cx="3467100" cy="1362832"/>
            <wp:effectExtent l="38100" t="38100" r="38100" b="46990"/>
            <wp:docPr id="479187120" name="Imagen 88"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Tabla&#10;&#10;El contenido generado por IA puede ser incorrecto."/>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476776" cy="1366635"/>
                    </a:xfrm>
                    <a:prstGeom prst="rect">
                      <a:avLst/>
                    </a:prstGeom>
                    <a:noFill/>
                    <a:ln w="38100" cmpd="sng">
                      <a:solidFill>
                        <a:srgbClr val="000000"/>
                      </a:solidFill>
                      <a:miter lim="800000"/>
                      <a:headEnd/>
                      <a:tailEnd/>
                    </a:ln>
                    <a:effectLst/>
                  </pic:spPr>
                </pic:pic>
              </a:graphicData>
            </a:graphic>
          </wp:inline>
        </w:drawing>
      </w:r>
    </w:p>
    <w:p w14:paraId="5C32EFED" w14:textId="77777777" w:rsidR="006D367F" w:rsidRPr="000113B8" w:rsidRDefault="006D367F" w:rsidP="006D367F">
      <w:pPr>
        <w:tabs>
          <w:tab w:val="left" w:pos="567"/>
        </w:tabs>
        <w:ind w:right="51"/>
        <w:jc w:val="center"/>
        <w:rPr>
          <w:rFonts w:ascii="Garamond" w:hAnsi="Garamond" w:cs="Arial"/>
          <w:bCs/>
          <w:color w:val="000000" w:themeColor="text1"/>
        </w:rPr>
      </w:pPr>
      <w:r w:rsidRPr="000113B8">
        <w:rPr>
          <w:rFonts w:ascii="Garamond" w:hAnsi="Garamond" w:cs="Arial"/>
          <w:bCs/>
          <w:color w:val="000000" w:themeColor="text1"/>
        </w:rPr>
        <w:t xml:space="preserve">Fuente: BANCOLDEX - </w:t>
      </w:r>
      <w:hyperlink r:id="rId70" w:history="1">
        <w:r w:rsidRPr="000113B8">
          <w:rPr>
            <w:rStyle w:val="Hipervnculo"/>
            <w:rFonts w:ascii="Garamond" w:hAnsi="Garamond" w:cs="Arial"/>
            <w:bCs/>
            <w:color w:val="000000" w:themeColor="text1"/>
          </w:rPr>
          <w:t>https://www.bancoldex.com/es/sobre-bancoldex/quienes-somos/clasificacion-de-empresas-en-colombia</w:t>
        </w:r>
      </w:hyperlink>
    </w:p>
    <w:p w14:paraId="292B4339" w14:textId="77777777" w:rsidR="006D367F" w:rsidRPr="000113B8" w:rsidRDefault="006D367F" w:rsidP="006D367F">
      <w:pPr>
        <w:tabs>
          <w:tab w:val="left" w:pos="567"/>
        </w:tabs>
        <w:ind w:right="51"/>
        <w:jc w:val="center"/>
        <w:rPr>
          <w:rFonts w:ascii="Garamond" w:hAnsi="Garamond" w:cs="Arial"/>
          <w:bCs/>
          <w:color w:val="000000" w:themeColor="text1"/>
        </w:rPr>
      </w:pPr>
    </w:p>
    <w:p w14:paraId="5E5C9CF0" w14:textId="77777777" w:rsidR="00947BF0" w:rsidRDefault="00947BF0" w:rsidP="006D367F">
      <w:pPr>
        <w:contextualSpacing/>
        <w:jc w:val="both"/>
        <w:rPr>
          <w:rFonts w:ascii="Garamond" w:hAnsi="Garamond" w:cs="Arial"/>
          <w:bCs/>
          <w:color w:val="000000" w:themeColor="text1"/>
        </w:rPr>
      </w:pPr>
      <w:r w:rsidRPr="00947BF0">
        <w:rPr>
          <w:rFonts w:ascii="Garamond" w:hAnsi="Garamond" w:cs="Arial"/>
          <w:bCs/>
          <w:color w:val="000000" w:themeColor="text1"/>
        </w:rPr>
        <w:t>En virtud de lo anterior y con la finalidad de dejar constancia de la actividad financiera y patrimonial de las aseguradoras, de acuerdo con la Superintendencia Financiera de Colombia, con corte a enero de 2026 el patrimonio total de las aseguradoras está por encima de los $22.000.000.000 lo que corrobora su composición como gran empresa, conforme se observa a continuación:</w:t>
      </w:r>
    </w:p>
    <w:p w14:paraId="5A0C16A2" w14:textId="1297A333" w:rsidR="006D367F" w:rsidRPr="000113B8" w:rsidRDefault="006D367F" w:rsidP="006D367F">
      <w:pPr>
        <w:contextualSpacing/>
        <w:jc w:val="both"/>
        <w:rPr>
          <w:rFonts w:ascii="Garamond" w:hAnsi="Garamond" w:cs="Arial"/>
          <w:bCs/>
          <w:color w:val="000000" w:themeColor="text1"/>
        </w:rPr>
      </w:pPr>
      <w:r w:rsidRPr="000113B8">
        <w:rPr>
          <w:rFonts w:ascii="Garamond" w:hAnsi="Garamond" w:cs="Arial"/>
          <w:bCs/>
          <w:color w:val="000000" w:themeColor="text1"/>
        </w:rPr>
        <w:t> </w:t>
      </w:r>
    </w:p>
    <w:p w14:paraId="1CCD21D7" w14:textId="71F1563A" w:rsidR="006D367F" w:rsidRPr="000113B8" w:rsidRDefault="00F37852" w:rsidP="006D367F">
      <w:pPr>
        <w:contextualSpacing/>
        <w:jc w:val="center"/>
        <w:rPr>
          <w:rFonts w:ascii="Garamond" w:hAnsi="Garamond" w:cs="Arial"/>
          <w:bCs/>
          <w:color w:val="000000" w:themeColor="text1"/>
        </w:rPr>
      </w:pPr>
      <w:r w:rsidRPr="00991284">
        <w:rPr>
          <w:rFonts w:ascii="Garamond" w:hAnsi="Garamond" w:cs="Arial"/>
          <w:bCs/>
          <w:noProof/>
          <w:color w:val="000000"/>
          <w:sz w:val="16"/>
          <w:szCs w:val="16"/>
        </w:rPr>
        <w:drawing>
          <wp:inline distT="0" distB="0" distL="0" distR="0" wp14:anchorId="5285E77B" wp14:editId="760E2FA0">
            <wp:extent cx="4084320" cy="2119668"/>
            <wp:effectExtent l="57150" t="57150" r="49530" b="52070"/>
            <wp:docPr id="151884159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841596" name=""/>
                    <pic:cNvPicPr/>
                  </pic:nvPicPr>
                  <pic:blipFill>
                    <a:blip r:embed="rId71"/>
                    <a:stretch>
                      <a:fillRect/>
                    </a:stretch>
                  </pic:blipFill>
                  <pic:spPr>
                    <a:xfrm>
                      <a:off x="0" y="0"/>
                      <a:ext cx="4092272" cy="2123795"/>
                    </a:xfrm>
                    <a:prstGeom prst="rect">
                      <a:avLst/>
                    </a:prstGeom>
                    <a:ln w="57150">
                      <a:solidFill>
                        <a:schemeClr val="tx1"/>
                      </a:solidFill>
                    </a:ln>
                  </pic:spPr>
                </pic:pic>
              </a:graphicData>
            </a:graphic>
          </wp:inline>
        </w:drawing>
      </w:r>
    </w:p>
    <w:p w14:paraId="5526B241" w14:textId="5F9E25EC" w:rsidR="006D367F" w:rsidRDefault="00F37852" w:rsidP="00F37852">
      <w:pPr>
        <w:jc w:val="center"/>
        <w:rPr>
          <w:rFonts w:ascii="Garamond" w:hAnsi="Garamond" w:cs="Arial"/>
          <w:bCs/>
          <w:color w:val="000000" w:themeColor="text1"/>
        </w:rPr>
      </w:pPr>
      <w:r w:rsidRPr="00F37852">
        <w:rPr>
          <w:rFonts w:ascii="Garamond" w:hAnsi="Garamond" w:cs="Arial"/>
          <w:bCs/>
          <w:color w:val="000000" w:themeColor="text1"/>
        </w:rPr>
        <w:t>Fuente: Superintendencia Financiera de Colombia enero de 2026 https://www.superfinanciera.gov.co/powerbi/reportes/528/542/</w:t>
      </w:r>
    </w:p>
    <w:p w14:paraId="626BE0DB" w14:textId="77777777" w:rsidR="00F37852" w:rsidRPr="000113B8" w:rsidRDefault="00F37852" w:rsidP="006D367F">
      <w:pPr>
        <w:jc w:val="both"/>
        <w:rPr>
          <w:rFonts w:ascii="Garamond" w:eastAsia="Arial Narrow" w:hAnsi="Garamond" w:cs="Arial"/>
          <w:color w:val="000000" w:themeColor="text1"/>
        </w:rPr>
      </w:pPr>
    </w:p>
    <w:p w14:paraId="48914593" w14:textId="77777777" w:rsidR="006D367F" w:rsidRPr="000113B8" w:rsidRDefault="006D367F" w:rsidP="006D367F">
      <w:pPr>
        <w:jc w:val="both"/>
        <w:rPr>
          <w:rFonts w:ascii="Garamond" w:eastAsia="Arial Narrow" w:hAnsi="Garamond" w:cs="Arial"/>
          <w:color w:val="000000" w:themeColor="text1"/>
        </w:rPr>
      </w:pPr>
      <w:bookmarkStart w:id="35" w:name="_Hlk220069397"/>
      <w:r w:rsidRPr="000113B8">
        <w:rPr>
          <w:rFonts w:ascii="Garamond" w:eastAsia="Arial Narrow" w:hAnsi="Garamond" w:cs="Arial"/>
          <w:color w:val="000000" w:themeColor="text1"/>
        </w:rPr>
        <w:lastRenderedPageBreak/>
        <w:t>Conforme al análisis realizado y en virtud de lo dispuesto en el artículo 5 del Decreto 1860 de 2021, que modifica el artículo 2.2.1.2.4.2.2 del Decreto 1082 de 2015, y aun cuando el presupuesto del presente proceso se encuentra dentro de los umbrales establecidos para procesos susceptibles de ser limitados a MiPymes, se concluye que para el presente proceso no resulta aplicable dicha limitación.</w:t>
      </w:r>
    </w:p>
    <w:p w14:paraId="0826E9B4" w14:textId="77777777" w:rsidR="006D367F" w:rsidRPr="000113B8" w:rsidRDefault="006D367F" w:rsidP="006D367F">
      <w:pPr>
        <w:jc w:val="both"/>
        <w:rPr>
          <w:rFonts w:ascii="Garamond" w:eastAsia="Arial Narrow" w:hAnsi="Garamond" w:cs="Arial"/>
          <w:color w:val="000000" w:themeColor="text1"/>
        </w:rPr>
      </w:pPr>
    </w:p>
    <w:p w14:paraId="57E054F0" w14:textId="77777777" w:rsidR="006D367F" w:rsidRPr="000113B8" w:rsidRDefault="006D367F" w:rsidP="006D367F">
      <w:pPr>
        <w:jc w:val="both"/>
        <w:rPr>
          <w:rFonts w:ascii="Garamond" w:eastAsia="Arial Narrow" w:hAnsi="Garamond" w:cs="Arial"/>
          <w:color w:val="000000" w:themeColor="text1"/>
        </w:rPr>
      </w:pPr>
      <w:r w:rsidRPr="000113B8">
        <w:rPr>
          <w:rFonts w:ascii="Garamond" w:eastAsia="Arial Narrow" w:hAnsi="Garamond" w:cs="Arial"/>
          <w:color w:val="000000" w:themeColor="text1"/>
        </w:rPr>
        <w:t>Lo anterior, teniendo en cuenta que del estudio del sector se evidencia que el cien por ciento (100%) de los posibles proveedores que participan en el mercado corresponden a grandes empresas, por lo cual no se cumple con el requisito de pluralidad de oferentes clasificados como micro, pequeñas o medianas empresas.</w:t>
      </w:r>
    </w:p>
    <w:p w14:paraId="54275E04" w14:textId="77777777" w:rsidR="006D367F" w:rsidRPr="000113B8" w:rsidRDefault="006D367F" w:rsidP="006D367F">
      <w:pPr>
        <w:jc w:val="both"/>
        <w:rPr>
          <w:rFonts w:ascii="Garamond" w:eastAsia="Arial Narrow" w:hAnsi="Garamond" w:cs="Arial"/>
          <w:color w:val="000000" w:themeColor="text1"/>
        </w:rPr>
      </w:pPr>
    </w:p>
    <w:p w14:paraId="054EAFB3" w14:textId="77777777" w:rsidR="006D367F" w:rsidRPr="000113B8" w:rsidRDefault="006D367F" w:rsidP="00A41117">
      <w:pPr>
        <w:pStyle w:val="Textoindependiente"/>
        <w:ind w:right="40"/>
        <w:jc w:val="both"/>
        <w:rPr>
          <w:rFonts w:ascii="Garamond" w:eastAsia="Arial Narrow" w:hAnsi="Garamond"/>
          <w:color w:val="000000" w:themeColor="text1"/>
        </w:rPr>
      </w:pPr>
      <w:r w:rsidRPr="000113B8">
        <w:rPr>
          <w:rFonts w:ascii="Garamond" w:eastAsia="Arial Narrow" w:hAnsi="Garamond"/>
          <w:color w:val="000000" w:themeColor="text1"/>
        </w:rPr>
        <w:t xml:space="preserve">Adicionalmente, se tiene que los potenciales oferentes identificados superan los topes de clasificación establecidos en salarios mínimos mensuales legales vigentes (SMMLV) para ser considerados como MiPymes, conforme a los criterios definidos en la normativa aplicable, razón por la cual no es procedente limitar el presente proceso a este tipo de empresas. </w:t>
      </w:r>
    </w:p>
    <w:p w14:paraId="36B71D40" w14:textId="77777777" w:rsidR="006D367F" w:rsidRPr="000113B8" w:rsidRDefault="006D367F" w:rsidP="006D367F">
      <w:pPr>
        <w:jc w:val="both"/>
        <w:rPr>
          <w:rFonts w:ascii="Garamond" w:eastAsia="Arial Narrow" w:hAnsi="Garamond" w:cs="Arial"/>
          <w:color w:val="000000" w:themeColor="text1"/>
        </w:rPr>
      </w:pPr>
    </w:p>
    <w:bookmarkEnd w:id="35"/>
    <w:p w14:paraId="29E9F512" w14:textId="77777777" w:rsidR="006D367F" w:rsidRPr="000113B8" w:rsidRDefault="006D367F" w:rsidP="00C54B99">
      <w:pPr>
        <w:pStyle w:val="Prrafodelista"/>
        <w:widowControl/>
        <w:numPr>
          <w:ilvl w:val="0"/>
          <w:numId w:val="28"/>
        </w:numPr>
        <w:autoSpaceDE/>
        <w:autoSpaceDN/>
        <w:spacing w:before="0" w:after="200"/>
        <w:contextualSpacing/>
        <w:jc w:val="both"/>
        <w:rPr>
          <w:rFonts w:ascii="Garamond" w:hAnsi="Garamond" w:cs="Arial"/>
          <w:b/>
          <w:bCs/>
          <w:color w:val="000000" w:themeColor="text1"/>
        </w:rPr>
      </w:pPr>
      <w:r w:rsidRPr="000113B8">
        <w:rPr>
          <w:rFonts w:ascii="Garamond" w:hAnsi="Garamond" w:cs="Arial"/>
          <w:b/>
          <w:bCs/>
          <w:color w:val="000000" w:themeColor="text1"/>
        </w:rPr>
        <w:t xml:space="preserve">Criterios Diferenciales para </w:t>
      </w:r>
      <w:proofErr w:type="spellStart"/>
      <w:r w:rsidRPr="000113B8">
        <w:rPr>
          <w:rFonts w:ascii="Garamond" w:hAnsi="Garamond" w:cs="Arial"/>
          <w:b/>
          <w:bCs/>
          <w:color w:val="000000" w:themeColor="text1"/>
        </w:rPr>
        <w:t>Mipymes</w:t>
      </w:r>
      <w:proofErr w:type="spellEnd"/>
    </w:p>
    <w:p w14:paraId="0F6B7EB2" w14:textId="77777777" w:rsidR="006D367F" w:rsidRPr="000113B8" w:rsidRDefault="006D367F" w:rsidP="006D367F">
      <w:pPr>
        <w:jc w:val="both"/>
        <w:rPr>
          <w:rFonts w:ascii="Garamond" w:hAnsi="Garamond" w:cs="Arial"/>
          <w:color w:val="000000" w:themeColor="text1"/>
        </w:rPr>
      </w:pPr>
      <w:r w:rsidRPr="000113B8">
        <w:rPr>
          <w:rFonts w:ascii="Garamond" w:hAnsi="Garamond" w:cs="Arial"/>
          <w:color w:val="000000" w:themeColor="text1"/>
        </w:rPr>
        <w:t>De conformidad con lo dispuesto en el Decreto 1082 de 2015 y el Decreto 1860 de 2021, el Fondo de Desarrollo Rural de Sumapaz analizó la procedencia de implementar criterios diferenciales para MiPymes en el presente proceso de contratación.</w:t>
      </w:r>
    </w:p>
    <w:p w14:paraId="29E82D42" w14:textId="77777777" w:rsidR="006D367F" w:rsidRPr="000113B8" w:rsidRDefault="006D367F" w:rsidP="006D367F">
      <w:pPr>
        <w:jc w:val="both"/>
        <w:rPr>
          <w:rFonts w:ascii="Garamond" w:hAnsi="Garamond" w:cs="Arial"/>
          <w:color w:val="000000" w:themeColor="text1"/>
        </w:rPr>
      </w:pPr>
    </w:p>
    <w:p w14:paraId="4B1D1877" w14:textId="77777777" w:rsidR="006D367F" w:rsidRPr="000113B8" w:rsidRDefault="006D367F" w:rsidP="006D367F">
      <w:pPr>
        <w:jc w:val="both"/>
        <w:rPr>
          <w:rFonts w:ascii="Garamond" w:hAnsi="Garamond" w:cs="Arial"/>
          <w:color w:val="000000" w:themeColor="text1"/>
        </w:rPr>
      </w:pPr>
      <w:r w:rsidRPr="000113B8">
        <w:rPr>
          <w:rFonts w:ascii="Garamond" w:hAnsi="Garamond" w:cs="Arial"/>
          <w:color w:val="000000" w:themeColor="text1"/>
        </w:rPr>
        <w:t>En desarrollo de lo anterior, y teniendo en cuenta que el análisis del sector evidencia que, en procesos similares, las entidades estatales han incorporado criterios diferenciales para promover la participación de MiPymes, se considera pertinente su aplicación en el presente proceso, en concordancia con los principios de promoción de la competencia y el acceso de este tipo de empresas al sistema de compras públicas.</w:t>
      </w:r>
    </w:p>
    <w:p w14:paraId="36405EC1" w14:textId="77777777" w:rsidR="006D367F" w:rsidRPr="000113B8" w:rsidRDefault="006D367F" w:rsidP="006D367F">
      <w:pPr>
        <w:jc w:val="both"/>
        <w:rPr>
          <w:rFonts w:ascii="Garamond" w:hAnsi="Garamond" w:cs="Arial"/>
          <w:color w:val="000000" w:themeColor="text1"/>
        </w:rPr>
      </w:pPr>
    </w:p>
    <w:p w14:paraId="5E7FDD91" w14:textId="77777777" w:rsidR="006D367F" w:rsidRPr="000113B8" w:rsidRDefault="006D367F" w:rsidP="006D367F">
      <w:pPr>
        <w:jc w:val="both"/>
        <w:rPr>
          <w:rFonts w:ascii="Garamond" w:hAnsi="Garamond" w:cs="Arial"/>
          <w:color w:val="000000" w:themeColor="text1"/>
        </w:rPr>
      </w:pPr>
      <w:r w:rsidRPr="000113B8">
        <w:rPr>
          <w:rFonts w:ascii="Garamond" w:hAnsi="Garamond" w:cs="Arial"/>
          <w:color w:val="000000" w:themeColor="text1"/>
        </w:rPr>
        <w:t>Si bien las compañías aseguradoras que operan en el mercado corresponden en su mayoría a grandes empresas, la entidad implementará criterios diferenciales en aquellos aspectos en los que resulte viable su aplicación, de conformidad con la normativa vigente, sin afectar la idoneidad técnica, financiera y jurídica requerida para la adecuada ejecución del contrato.</w:t>
      </w:r>
    </w:p>
    <w:p w14:paraId="6A63DA24" w14:textId="77777777" w:rsidR="006D367F" w:rsidRPr="000113B8" w:rsidRDefault="006D367F" w:rsidP="006D367F">
      <w:pPr>
        <w:jc w:val="both"/>
        <w:rPr>
          <w:rFonts w:ascii="Garamond" w:hAnsi="Garamond" w:cs="Arial"/>
          <w:color w:val="000000" w:themeColor="text1"/>
        </w:rPr>
      </w:pPr>
    </w:p>
    <w:p w14:paraId="13B48873" w14:textId="77777777" w:rsidR="006D367F" w:rsidRPr="000113B8" w:rsidRDefault="006D367F" w:rsidP="006D367F">
      <w:pPr>
        <w:jc w:val="both"/>
        <w:rPr>
          <w:rFonts w:ascii="Garamond" w:hAnsi="Garamond" w:cs="Arial"/>
          <w:color w:val="000000" w:themeColor="text1"/>
          <w:kern w:val="3"/>
          <w:lang w:eastAsia="zh-CN" w:bidi="hi-IN"/>
        </w:rPr>
      </w:pPr>
      <w:r w:rsidRPr="000113B8">
        <w:rPr>
          <w:rFonts w:ascii="Garamond" w:hAnsi="Garamond" w:cs="Arial"/>
          <w:color w:val="000000" w:themeColor="text1"/>
        </w:rPr>
        <w:t>En consecuencia, se incorporarán criterios diferenciales para MiPymes en el presente proceso, en los términos previstos en la normativa aplicable, con el fin de fomentar su participación, siempre que ello resulte compatible con las condiciones del mercado asegurador y las necesidades de la entidad.</w:t>
      </w:r>
    </w:p>
    <w:bookmarkEnd w:id="31"/>
    <w:p w14:paraId="0FE35070" w14:textId="77777777" w:rsidR="006D367F" w:rsidRPr="000113B8" w:rsidRDefault="006D367F" w:rsidP="006D367F">
      <w:pPr>
        <w:contextualSpacing/>
        <w:jc w:val="both"/>
        <w:rPr>
          <w:rFonts w:ascii="Garamond" w:hAnsi="Garamond" w:cs="Arial"/>
          <w:b/>
          <w:bCs/>
          <w:color w:val="000000" w:themeColor="text1"/>
        </w:rPr>
      </w:pPr>
    </w:p>
    <w:p w14:paraId="1E91960E" w14:textId="7C543A6B" w:rsidR="006D367F" w:rsidRPr="000113B8" w:rsidRDefault="006D367F" w:rsidP="00C54B99">
      <w:pPr>
        <w:pStyle w:val="Prrafodelista"/>
        <w:widowControl/>
        <w:numPr>
          <w:ilvl w:val="0"/>
          <w:numId w:val="24"/>
        </w:numPr>
        <w:autoSpaceDE/>
        <w:autoSpaceDN/>
        <w:spacing w:after="200"/>
        <w:contextualSpacing/>
        <w:jc w:val="both"/>
        <w:rPr>
          <w:rFonts w:ascii="Garamond" w:hAnsi="Garamond" w:cs="Arial"/>
          <w:b/>
          <w:bCs/>
          <w:color w:val="000000" w:themeColor="text1"/>
        </w:rPr>
      </w:pPr>
      <w:r w:rsidRPr="000113B8">
        <w:rPr>
          <w:rFonts w:ascii="Garamond" w:hAnsi="Garamond" w:cs="Arial"/>
          <w:b/>
          <w:bCs/>
          <w:color w:val="000000" w:themeColor="text1"/>
        </w:rPr>
        <w:t>PARTICIPACIÓN DE LAS MUJERES EN EL SECTOR</w:t>
      </w:r>
    </w:p>
    <w:p w14:paraId="523667DC" w14:textId="77777777" w:rsidR="006D367F" w:rsidRPr="000113B8" w:rsidRDefault="006D367F" w:rsidP="006D367F">
      <w:pPr>
        <w:tabs>
          <w:tab w:val="left" w:pos="567"/>
        </w:tabs>
        <w:jc w:val="both"/>
        <w:rPr>
          <w:rFonts w:ascii="Garamond" w:hAnsi="Garamond" w:cs="Arial"/>
          <w:bCs/>
          <w:color w:val="000000" w:themeColor="text1"/>
        </w:rPr>
      </w:pPr>
      <w:r w:rsidRPr="000113B8">
        <w:rPr>
          <w:rFonts w:ascii="Garamond" w:hAnsi="Garamond" w:cs="Arial"/>
          <w:bCs/>
          <w:color w:val="000000" w:themeColor="text1"/>
        </w:rPr>
        <w:t>De conformidad con el Departamento Administrativo Nacional de Estadística (DANE) los indicadores de mercado laboral según sexo en el total nacional arrojan que para el trimestre móvil noviembre 2025 - enero 2026, la tasa de desocupación para las mujeres fue 11,0% y para los hombres 6,8%.</w:t>
      </w:r>
    </w:p>
    <w:p w14:paraId="0C3B356C" w14:textId="77777777" w:rsidR="006D367F" w:rsidRPr="000113B8" w:rsidRDefault="006D367F" w:rsidP="006D367F">
      <w:pPr>
        <w:tabs>
          <w:tab w:val="left" w:pos="567"/>
        </w:tabs>
        <w:jc w:val="both"/>
        <w:rPr>
          <w:rFonts w:ascii="Garamond" w:hAnsi="Garamond" w:cs="Arial"/>
          <w:bCs/>
          <w:color w:val="000000" w:themeColor="text1"/>
        </w:rPr>
      </w:pPr>
    </w:p>
    <w:p w14:paraId="567D232F" w14:textId="77777777" w:rsidR="006D367F" w:rsidRPr="000113B8" w:rsidRDefault="006D367F" w:rsidP="006D367F">
      <w:pPr>
        <w:tabs>
          <w:tab w:val="left" w:pos="567"/>
        </w:tabs>
        <w:jc w:val="center"/>
        <w:rPr>
          <w:rFonts w:ascii="Garamond" w:hAnsi="Garamond" w:cs="Arial"/>
          <w:bCs/>
          <w:color w:val="000000" w:themeColor="text1"/>
        </w:rPr>
      </w:pPr>
      <w:r w:rsidRPr="000113B8">
        <w:rPr>
          <w:rFonts w:ascii="Garamond" w:hAnsi="Garamond" w:cs="Arial"/>
          <w:bCs/>
          <w:noProof/>
          <w:color w:val="000000" w:themeColor="text1"/>
        </w:rPr>
        <w:lastRenderedPageBreak/>
        <w:drawing>
          <wp:inline distT="0" distB="0" distL="0" distR="0" wp14:anchorId="36C67918" wp14:editId="77206502">
            <wp:extent cx="3826534" cy="3429042"/>
            <wp:effectExtent l="38100" t="38100" r="40640" b="38100"/>
            <wp:docPr id="198991096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910961" name=""/>
                    <pic:cNvPicPr/>
                  </pic:nvPicPr>
                  <pic:blipFill>
                    <a:blip r:embed="rId72"/>
                    <a:stretch>
                      <a:fillRect/>
                    </a:stretch>
                  </pic:blipFill>
                  <pic:spPr>
                    <a:xfrm>
                      <a:off x="0" y="0"/>
                      <a:ext cx="3845736" cy="3446249"/>
                    </a:xfrm>
                    <a:prstGeom prst="rect">
                      <a:avLst/>
                    </a:prstGeom>
                    <a:ln w="38100">
                      <a:solidFill>
                        <a:schemeClr val="tx1"/>
                      </a:solidFill>
                    </a:ln>
                  </pic:spPr>
                </pic:pic>
              </a:graphicData>
            </a:graphic>
          </wp:inline>
        </w:drawing>
      </w:r>
    </w:p>
    <w:p w14:paraId="19BBAFB2" w14:textId="77777777" w:rsidR="006D367F" w:rsidRPr="000113B8" w:rsidRDefault="006D367F" w:rsidP="006D367F">
      <w:pPr>
        <w:tabs>
          <w:tab w:val="left" w:pos="567"/>
        </w:tabs>
        <w:jc w:val="center"/>
        <w:rPr>
          <w:rFonts w:ascii="Garamond" w:hAnsi="Garamond" w:cs="Arial"/>
          <w:color w:val="000000" w:themeColor="text1"/>
        </w:rPr>
      </w:pPr>
      <w:r w:rsidRPr="000113B8">
        <w:rPr>
          <w:rFonts w:ascii="Garamond" w:hAnsi="Garamond" w:cs="Arial"/>
          <w:color w:val="000000" w:themeColor="text1"/>
        </w:rPr>
        <w:t>Fuente: DANE – Boletín Técnico - Mercado laboral según sexo – Boletín técnico 12 de marzo de 2026</w:t>
      </w:r>
    </w:p>
    <w:p w14:paraId="50500F89" w14:textId="77777777" w:rsidR="006D367F" w:rsidRPr="000113B8" w:rsidRDefault="006D367F" w:rsidP="006D367F">
      <w:pPr>
        <w:tabs>
          <w:tab w:val="left" w:pos="567"/>
        </w:tabs>
        <w:jc w:val="both"/>
        <w:rPr>
          <w:rFonts w:ascii="Garamond" w:hAnsi="Garamond" w:cs="Arial"/>
          <w:color w:val="000000" w:themeColor="text1"/>
        </w:rPr>
      </w:pPr>
    </w:p>
    <w:p w14:paraId="2A70ECBD" w14:textId="77777777" w:rsidR="006D367F" w:rsidRPr="000113B8" w:rsidRDefault="006D367F" w:rsidP="006D367F">
      <w:pPr>
        <w:jc w:val="both"/>
        <w:rPr>
          <w:rFonts w:ascii="Garamond" w:hAnsi="Garamond" w:cs="Arial"/>
          <w:bCs/>
          <w:noProof/>
          <w:color w:val="000000" w:themeColor="text1"/>
        </w:rPr>
      </w:pPr>
      <w:r w:rsidRPr="000113B8">
        <w:rPr>
          <w:rFonts w:ascii="Garamond" w:hAnsi="Garamond" w:cs="Arial"/>
          <w:bCs/>
          <w:color w:val="000000" w:themeColor="text1"/>
        </w:rPr>
        <w:t>En el trimestre móvil noviembre 2025 a enero 2026, la rama de actividades financiera y de seguros tuvo una número de mujeres ocupadas de (265 miles).</w:t>
      </w:r>
      <w:r w:rsidRPr="000113B8">
        <w:rPr>
          <w:rFonts w:ascii="Garamond" w:hAnsi="Garamond" w:cs="Arial"/>
          <w:bCs/>
          <w:noProof/>
          <w:color w:val="000000" w:themeColor="text1"/>
        </w:rPr>
        <w:t xml:space="preserve"> </w:t>
      </w:r>
    </w:p>
    <w:p w14:paraId="4936CCB3" w14:textId="77777777" w:rsidR="006D367F" w:rsidRPr="000113B8" w:rsidRDefault="006D367F" w:rsidP="006D367F">
      <w:pPr>
        <w:jc w:val="both"/>
        <w:rPr>
          <w:rFonts w:ascii="Garamond" w:hAnsi="Garamond" w:cs="Arial"/>
          <w:noProof/>
          <w:color w:val="000000" w:themeColor="text1"/>
        </w:rPr>
      </w:pPr>
    </w:p>
    <w:p w14:paraId="5657D827" w14:textId="77777777" w:rsidR="006D367F" w:rsidRPr="000113B8" w:rsidRDefault="006D367F" w:rsidP="006D367F">
      <w:pPr>
        <w:jc w:val="center"/>
        <w:rPr>
          <w:rFonts w:ascii="Garamond" w:hAnsi="Garamond" w:cs="Arial"/>
          <w:color w:val="000000" w:themeColor="text1"/>
        </w:rPr>
      </w:pPr>
      <w:r w:rsidRPr="000113B8">
        <w:rPr>
          <w:rFonts w:ascii="Garamond" w:hAnsi="Garamond" w:cs="Arial"/>
          <w:noProof/>
          <w:color w:val="000000" w:themeColor="text1"/>
        </w:rPr>
        <w:drawing>
          <wp:inline distT="0" distB="0" distL="0" distR="0" wp14:anchorId="30CFEF05" wp14:editId="34115EDF">
            <wp:extent cx="3291696" cy="2112837"/>
            <wp:effectExtent l="38100" t="38100" r="42545" b="40005"/>
            <wp:docPr id="205640564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405646" name=""/>
                    <pic:cNvPicPr/>
                  </pic:nvPicPr>
                  <pic:blipFill>
                    <a:blip r:embed="rId73"/>
                    <a:stretch>
                      <a:fillRect/>
                    </a:stretch>
                  </pic:blipFill>
                  <pic:spPr>
                    <a:xfrm>
                      <a:off x="0" y="0"/>
                      <a:ext cx="3305455" cy="2121669"/>
                    </a:xfrm>
                    <a:prstGeom prst="rect">
                      <a:avLst/>
                    </a:prstGeom>
                    <a:ln w="38100">
                      <a:solidFill>
                        <a:schemeClr val="tx1"/>
                      </a:solidFill>
                    </a:ln>
                  </pic:spPr>
                </pic:pic>
              </a:graphicData>
            </a:graphic>
          </wp:inline>
        </w:drawing>
      </w:r>
    </w:p>
    <w:p w14:paraId="030C23F1" w14:textId="77777777" w:rsidR="006D367F" w:rsidRPr="000113B8" w:rsidRDefault="006D367F" w:rsidP="006D367F">
      <w:pPr>
        <w:jc w:val="center"/>
        <w:rPr>
          <w:rFonts w:ascii="Garamond" w:hAnsi="Garamond" w:cs="Arial"/>
          <w:color w:val="000000" w:themeColor="text1"/>
        </w:rPr>
      </w:pPr>
      <w:r w:rsidRPr="000113B8">
        <w:rPr>
          <w:rFonts w:ascii="Garamond" w:hAnsi="Garamond" w:cs="Arial"/>
          <w:color w:val="000000" w:themeColor="text1"/>
        </w:rPr>
        <w:t>Fuente: DANE – Boletín Técnico - Mercado laboral según sexo – Boletín técnico 12 de marzo de 2026</w:t>
      </w:r>
    </w:p>
    <w:p w14:paraId="03CB8AE1" w14:textId="77777777" w:rsidR="006D367F" w:rsidRPr="000113B8" w:rsidRDefault="006D367F" w:rsidP="006D367F">
      <w:pPr>
        <w:jc w:val="both"/>
        <w:rPr>
          <w:rFonts w:ascii="Garamond" w:hAnsi="Garamond" w:cs="Arial"/>
          <w:color w:val="000000" w:themeColor="text1"/>
        </w:rPr>
      </w:pPr>
    </w:p>
    <w:p w14:paraId="12BC5436" w14:textId="3404069C" w:rsidR="006D367F" w:rsidRDefault="00101D59" w:rsidP="006D367F">
      <w:pPr>
        <w:tabs>
          <w:tab w:val="left" w:pos="567"/>
        </w:tabs>
        <w:jc w:val="both"/>
        <w:rPr>
          <w:rFonts w:ascii="Garamond" w:hAnsi="Garamond" w:cs="Arial"/>
          <w:bCs/>
          <w:color w:val="000000" w:themeColor="text1"/>
        </w:rPr>
      </w:pPr>
      <w:r w:rsidRPr="00101D59">
        <w:rPr>
          <w:rFonts w:ascii="Garamond" w:hAnsi="Garamond" w:cs="Arial"/>
          <w:bCs/>
          <w:color w:val="000000" w:themeColor="text1"/>
        </w:rPr>
        <w:t>Ahora bien, según cifras de la Superintendencia Financiera de Colombia, la composición femenina de la alta gerencia y organismos de control de las entidades supervigiladas, en compañías de seguros generales es del 33.03% para entidades privadas y del 54.55% para entidades públicas:</w:t>
      </w:r>
    </w:p>
    <w:p w14:paraId="2284AF5E" w14:textId="77777777" w:rsidR="00101D59" w:rsidRPr="000113B8" w:rsidRDefault="00101D59" w:rsidP="006D367F">
      <w:pPr>
        <w:tabs>
          <w:tab w:val="left" w:pos="567"/>
        </w:tabs>
        <w:jc w:val="both"/>
        <w:rPr>
          <w:rFonts w:ascii="Garamond" w:hAnsi="Garamond" w:cs="Arial"/>
          <w:bCs/>
          <w:color w:val="000000" w:themeColor="text1"/>
        </w:rPr>
      </w:pPr>
    </w:p>
    <w:p w14:paraId="5DF75FC3" w14:textId="0A03B5BB" w:rsidR="006D367F" w:rsidRPr="000113B8" w:rsidRDefault="00101D59" w:rsidP="006D367F">
      <w:pPr>
        <w:tabs>
          <w:tab w:val="left" w:pos="567"/>
        </w:tabs>
        <w:jc w:val="center"/>
        <w:rPr>
          <w:rFonts w:ascii="Garamond" w:hAnsi="Garamond" w:cs="Arial"/>
          <w:bCs/>
          <w:color w:val="000000" w:themeColor="text1"/>
        </w:rPr>
      </w:pPr>
      <w:r w:rsidRPr="00721B41">
        <w:rPr>
          <w:rFonts w:ascii="Garamond" w:hAnsi="Garamond" w:cs="Arial"/>
          <w:bCs/>
          <w:noProof/>
          <w:sz w:val="16"/>
          <w:szCs w:val="16"/>
        </w:rPr>
        <w:lastRenderedPageBreak/>
        <w:drawing>
          <wp:inline distT="0" distB="0" distL="0" distR="0" wp14:anchorId="4B5F6CC6" wp14:editId="26DCB75B">
            <wp:extent cx="3894991" cy="2124075"/>
            <wp:effectExtent l="38100" t="38100" r="29845" b="28575"/>
            <wp:docPr id="198133112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1331121" name=""/>
                    <pic:cNvPicPr/>
                  </pic:nvPicPr>
                  <pic:blipFill>
                    <a:blip r:embed="rId74"/>
                    <a:stretch>
                      <a:fillRect/>
                    </a:stretch>
                  </pic:blipFill>
                  <pic:spPr>
                    <a:xfrm>
                      <a:off x="0" y="0"/>
                      <a:ext cx="3913959" cy="2134419"/>
                    </a:xfrm>
                    <a:prstGeom prst="rect">
                      <a:avLst/>
                    </a:prstGeom>
                    <a:ln w="38100">
                      <a:solidFill>
                        <a:schemeClr val="tx1"/>
                      </a:solidFill>
                    </a:ln>
                  </pic:spPr>
                </pic:pic>
              </a:graphicData>
            </a:graphic>
          </wp:inline>
        </w:drawing>
      </w:r>
    </w:p>
    <w:p w14:paraId="7621B09D" w14:textId="77777777" w:rsidR="006D367F" w:rsidRPr="000113B8" w:rsidRDefault="006D367F" w:rsidP="006D367F">
      <w:pPr>
        <w:tabs>
          <w:tab w:val="left" w:pos="567"/>
        </w:tabs>
        <w:jc w:val="center"/>
        <w:rPr>
          <w:rFonts w:ascii="Garamond" w:hAnsi="Garamond" w:cs="Arial"/>
          <w:bCs/>
          <w:color w:val="000000" w:themeColor="text1"/>
        </w:rPr>
      </w:pPr>
      <w:r w:rsidRPr="000113B8">
        <w:rPr>
          <w:rFonts w:ascii="Garamond" w:hAnsi="Garamond" w:cs="Arial"/>
          <w:bCs/>
          <w:color w:val="000000" w:themeColor="text1"/>
        </w:rPr>
        <w:t>Fuente: Información reportada en la página web de la Superintendencia Financiera de Colombia – Compañías de Seguros Generales</w:t>
      </w:r>
    </w:p>
    <w:p w14:paraId="0581676E" w14:textId="77777777" w:rsidR="006D367F" w:rsidRPr="000113B8" w:rsidRDefault="006D367F" w:rsidP="006D367F">
      <w:pPr>
        <w:tabs>
          <w:tab w:val="left" w:pos="567"/>
        </w:tabs>
        <w:jc w:val="both"/>
        <w:rPr>
          <w:rFonts w:ascii="Garamond" w:hAnsi="Garamond" w:cs="Arial"/>
          <w:bCs/>
          <w:color w:val="000000" w:themeColor="text1"/>
        </w:rPr>
      </w:pPr>
    </w:p>
    <w:p w14:paraId="00FCEDD8" w14:textId="7882F38B" w:rsidR="006D367F" w:rsidRDefault="00101D59" w:rsidP="00101D59">
      <w:pPr>
        <w:tabs>
          <w:tab w:val="left" w:pos="567"/>
        </w:tabs>
        <w:jc w:val="both"/>
        <w:rPr>
          <w:rFonts w:ascii="Garamond" w:hAnsi="Garamond" w:cs="Arial"/>
          <w:bCs/>
          <w:color w:val="000000" w:themeColor="text1"/>
        </w:rPr>
      </w:pPr>
      <w:r w:rsidRPr="00101D59">
        <w:rPr>
          <w:rFonts w:ascii="Garamond" w:hAnsi="Garamond" w:cs="Arial"/>
          <w:bCs/>
          <w:color w:val="000000" w:themeColor="text1"/>
        </w:rPr>
        <w:t>En compañías de seguros de vida la composición femenina es del 33.67% para entidades privadas y del 66.67% para entidades públicas:</w:t>
      </w:r>
    </w:p>
    <w:p w14:paraId="16B3E1AC" w14:textId="77777777" w:rsidR="00101D59" w:rsidRPr="000113B8" w:rsidRDefault="00101D59" w:rsidP="006D367F">
      <w:pPr>
        <w:tabs>
          <w:tab w:val="left" w:pos="567"/>
        </w:tabs>
        <w:jc w:val="center"/>
        <w:rPr>
          <w:rFonts w:ascii="Garamond" w:hAnsi="Garamond" w:cs="Arial"/>
          <w:bCs/>
          <w:color w:val="000000" w:themeColor="text1"/>
        </w:rPr>
      </w:pPr>
    </w:p>
    <w:p w14:paraId="023D1D03" w14:textId="6ABE1603" w:rsidR="006D367F" w:rsidRPr="000113B8" w:rsidRDefault="00101D59" w:rsidP="006D367F">
      <w:pPr>
        <w:tabs>
          <w:tab w:val="left" w:pos="567"/>
        </w:tabs>
        <w:jc w:val="center"/>
        <w:rPr>
          <w:rFonts w:ascii="Garamond" w:hAnsi="Garamond" w:cs="Arial"/>
          <w:bCs/>
          <w:color w:val="000000" w:themeColor="text1"/>
        </w:rPr>
      </w:pPr>
      <w:r w:rsidRPr="009A14C6">
        <w:rPr>
          <w:rFonts w:ascii="Garamond" w:hAnsi="Garamond" w:cs="Arial"/>
          <w:bCs/>
          <w:noProof/>
          <w:sz w:val="16"/>
          <w:szCs w:val="16"/>
        </w:rPr>
        <w:drawing>
          <wp:inline distT="0" distB="0" distL="0" distR="0" wp14:anchorId="195F6D06" wp14:editId="7CE64349">
            <wp:extent cx="4047490" cy="2133600"/>
            <wp:effectExtent l="38100" t="38100" r="29210" b="38100"/>
            <wp:docPr id="4669181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91812" name=""/>
                    <pic:cNvPicPr/>
                  </pic:nvPicPr>
                  <pic:blipFill>
                    <a:blip r:embed="rId75"/>
                    <a:stretch>
                      <a:fillRect/>
                    </a:stretch>
                  </pic:blipFill>
                  <pic:spPr>
                    <a:xfrm>
                      <a:off x="0" y="0"/>
                      <a:ext cx="4061887" cy="2141189"/>
                    </a:xfrm>
                    <a:prstGeom prst="rect">
                      <a:avLst/>
                    </a:prstGeom>
                    <a:ln w="38100">
                      <a:solidFill>
                        <a:schemeClr val="tx1"/>
                      </a:solidFill>
                    </a:ln>
                  </pic:spPr>
                </pic:pic>
              </a:graphicData>
            </a:graphic>
          </wp:inline>
        </w:drawing>
      </w:r>
    </w:p>
    <w:p w14:paraId="7D8EAFA3" w14:textId="77777777" w:rsidR="006D367F" w:rsidRPr="000113B8" w:rsidRDefault="006D367F" w:rsidP="006D367F">
      <w:pPr>
        <w:tabs>
          <w:tab w:val="left" w:pos="567"/>
        </w:tabs>
        <w:jc w:val="center"/>
        <w:rPr>
          <w:rFonts w:ascii="Garamond" w:hAnsi="Garamond" w:cs="Arial"/>
          <w:bCs/>
          <w:color w:val="000000" w:themeColor="text1"/>
        </w:rPr>
      </w:pPr>
      <w:r w:rsidRPr="000113B8">
        <w:rPr>
          <w:rFonts w:ascii="Garamond" w:hAnsi="Garamond" w:cs="Arial"/>
          <w:bCs/>
          <w:color w:val="000000" w:themeColor="text1"/>
        </w:rPr>
        <w:t>Fuente: Información reportada en la página web de la Superintendencia Financiera de Colombia – Compañías de Seguros de Vida</w:t>
      </w:r>
    </w:p>
    <w:p w14:paraId="65F50AB7" w14:textId="77777777" w:rsidR="006D367F" w:rsidRPr="000113B8" w:rsidRDefault="006D367F" w:rsidP="006D367F">
      <w:pPr>
        <w:tabs>
          <w:tab w:val="left" w:pos="567"/>
        </w:tabs>
        <w:jc w:val="center"/>
        <w:rPr>
          <w:rFonts w:ascii="Garamond" w:hAnsi="Garamond" w:cs="Arial"/>
          <w:bCs/>
          <w:color w:val="000000" w:themeColor="text1"/>
        </w:rPr>
      </w:pPr>
    </w:p>
    <w:p w14:paraId="04A901CD" w14:textId="77777777" w:rsidR="006D367F" w:rsidRPr="000113B8" w:rsidRDefault="006D367F" w:rsidP="00C54B99">
      <w:pPr>
        <w:pStyle w:val="Prrafodelista"/>
        <w:widowControl/>
        <w:numPr>
          <w:ilvl w:val="0"/>
          <w:numId w:val="28"/>
        </w:numPr>
        <w:autoSpaceDE/>
        <w:autoSpaceDN/>
        <w:spacing w:before="0" w:after="200"/>
        <w:contextualSpacing/>
        <w:jc w:val="both"/>
        <w:rPr>
          <w:rFonts w:ascii="Garamond" w:hAnsi="Garamond" w:cs="Arial"/>
          <w:b/>
          <w:color w:val="000000" w:themeColor="text1"/>
          <w:lang w:eastAsia="es-CO"/>
        </w:rPr>
      </w:pPr>
      <w:r w:rsidRPr="000113B8">
        <w:rPr>
          <w:rFonts w:ascii="Garamond" w:hAnsi="Garamond" w:cs="Arial"/>
          <w:b/>
          <w:color w:val="000000" w:themeColor="text1"/>
          <w:lang w:eastAsia="es-CO"/>
        </w:rPr>
        <w:t xml:space="preserve">Criterios Diferenciales para Emprendimiento y Empresas de Mujeres </w:t>
      </w:r>
    </w:p>
    <w:p w14:paraId="62B6B77D" w14:textId="77777777" w:rsidR="006D367F" w:rsidRPr="000113B8" w:rsidRDefault="006D367F" w:rsidP="006D367F">
      <w:pPr>
        <w:jc w:val="both"/>
        <w:rPr>
          <w:rFonts w:ascii="Garamond" w:hAnsi="Garamond" w:cs="Arial"/>
          <w:bCs/>
          <w:color w:val="000000" w:themeColor="text1"/>
        </w:rPr>
      </w:pPr>
      <w:bookmarkStart w:id="36" w:name="_Hlk108093365"/>
      <w:bookmarkStart w:id="37" w:name="_Hlk108093451"/>
      <w:r w:rsidRPr="000113B8">
        <w:rPr>
          <w:rFonts w:ascii="Garamond" w:hAnsi="Garamond" w:cs="Arial"/>
          <w:color w:val="000000" w:themeColor="text1"/>
        </w:rPr>
        <w:t xml:space="preserve">El </w:t>
      </w:r>
      <w:r w:rsidRPr="000113B8">
        <w:rPr>
          <w:rFonts w:ascii="Garamond" w:hAnsi="Garamond" w:cs="Arial"/>
          <w:b/>
          <w:bCs/>
          <w:color w:val="000000" w:themeColor="text1"/>
        </w:rPr>
        <w:t>Fondo de Desarrollo Rural de Sumapaz</w:t>
      </w:r>
      <w:r w:rsidRPr="000113B8">
        <w:rPr>
          <w:rFonts w:ascii="Garamond" w:hAnsi="Garamond" w:cs="Arial"/>
          <w:bCs/>
          <w:color w:val="000000" w:themeColor="text1"/>
        </w:rPr>
        <w:t xml:space="preserve">, </w:t>
      </w:r>
      <w:bookmarkEnd w:id="36"/>
      <w:bookmarkEnd w:id="37"/>
      <w:r w:rsidRPr="000113B8">
        <w:rPr>
          <w:rFonts w:ascii="Garamond" w:hAnsi="Garamond" w:cs="Arial"/>
          <w:bCs/>
          <w:color w:val="000000" w:themeColor="text1"/>
        </w:rPr>
        <w:t xml:space="preserve">aplicará como criterio diferencial el indicado en el </w:t>
      </w:r>
      <w:r w:rsidRPr="000113B8">
        <w:rPr>
          <w:rFonts w:ascii="Garamond" w:hAnsi="Garamond" w:cs="Arial"/>
          <w:bCs/>
          <w:color w:val="000000" w:themeColor="text1"/>
          <w:u w:val="single"/>
        </w:rPr>
        <w:t>numeral 2. “Número de contratos para la acreditación de la experiencia”</w:t>
      </w:r>
      <w:r w:rsidRPr="000113B8">
        <w:rPr>
          <w:rFonts w:ascii="Garamond" w:hAnsi="Garamond" w:cs="Arial"/>
          <w:bCs/>
          <w:color w:val="000000" w:themeColor="text1"/>
        </w:rPr>
        <w:t>, de conformidad con lo contemplado en el artículo 2.2.1.2.4.2.15 del Decreto 1082 de 2015 adicionado por el artículo 3 del Decreto 1860 de 2021 y conforme con las definiciones que trae el artículo 2.2.1.2.4.2.14 ídem, para lo cual el proponente deberá aportar la certificación requerida en los criterios habilitantes suscrita por el representante legal de la persona jurídica y el revisor fiscal.</w:t>
      </w:r>
    </w:p>
    <w:p w14:paraId="16AA2216" w14:textId="77777777" w:rsidR="006D367F" w:rsidRPr="000113B8" w:rsidRDefault="006D367F" w:rsidP="006D367F">
      <w:pPr>
        <w:jc w:val="both"/>
        <w:rPr>
          <w:rFonts w:ascii="Garamond" w:hAnsi="Garamond" w:cs="Arial"/>
          <w:bCs/>
          <w:color w:val="000000" w:themeColor="text1"/>
        </w:rPr>
      </w:pPr>
    </w:p>
    <w:p w14:paraId="17EA5A25" w14:textId="77777777" w:rsidR="006D367F" w:rsidRPr="000113B8" w:rsidRDefault="006D367F" w:rsidP="006D367F">
      <w:pPr>
        <w:jc w:val="both"/>
        <w:rPr>
          <w:rFonts w:ascii="Garamond" w:hAnsi="Garamond" w:cs="Arial"/>
          <w:bCs/>
          <w:color w:val="000000" w:themeColor="text1"/>
        </w:rPr>
      </w:pPr>
      <w:r w:rsidRPr="000113B8">
        <w:rPr>
          <w:rFonts w:ascii="Garamond" w:hAnsi="Garamond" w:cs="Arial"/>
          <w:bCs/>
          <w:color w:val="000000" w:themeColor="text1"/>
        </w:rPr>
        <w:t xml:space="preserve">Así las cosas, el proponente que acredite ser una empresa de mujeres o un emprendimiento de mujeres de conformidad con las definiciones del artículo 2.2.1.2.4.2.14 del Decreto 1082 de 2015 adicionado por el artículo 3 del Decreto 1860 de 2021, podrá acreditar la experiencia con máximo </w:t>
      </w:r>
      <w:r w:rsidRPr="000113B8">
        <w:rPr>
          <w:rFonts w:ascii="Garamond" w:hAnsi="Garamond" w:cs="Arial"/>
          <w:b/>
          <w:color w:val="000000" w:themeColor="text1"/>
        </w:rPr>
        <w:t xml:space="preserve">tres (03) </w:t>
      </w:r>
      <w:r w:rsidRPr="000113B8">
        <w:rPr>
          <w:rFonts w:ascii="Garamond" w:hAnsi="Garamond" w:cs="Arial"/>
          <w:color w:val="000000" w:themeColor="text1"/>
          <w:lang w:val="es-ES_tradnl"/>
        </w:rPr>
        <w:t xml:space="preserve">certificaciones en seguros de vida, salud y accidentes código UNSPSC 841316 </w:t>
      </w:r>
      <w:r w:rsidRPr="000113B8">
        <w:rPr>
          <w:rFonts w:ascii="Garamond" w:hAnsi="Garamond" w:cs="Arial"/>
          <w:bCs/>
          <w:color w:val="000000" w:themeColor="text1"/>
        </w:rPr>
        <w:t>y cuya sumatoria sea igual o superior al valor del presupuesto expresado en SMMLV.</w:t>
      </w:r>
    </w:p>
    <w:p w14:paraId="1491011B" w14:textId="77777777" w:rsidR="006D367F" w:rsidRPr="000113B8" w:rsidRDefault="006D367F" w:rsidP="006D367F">
      <w:pPr>
        <w:jc w:val="both"/>
        <w:rPr>
          <w:rFonts w:ascii="Garamond" w:hAnsi="Garamond" w:cs="Arial"/>
          <w:bCs/>
          <w:color w:val="000000" w:themeColor="text1"/>
        </w:rPr>
      </w:pPr>
    </w:p>
    <w:p w14:paraId="19E41D1C" w14:textId="77777777" w:rsidR="006D367F" w:rsidRPr="000113B8" w:rsidRDefault="006D367F" w:rsidP="006D367F">
      <w:pPr>
        <w:jc w:val="both"/>
        <w:rPr>
          <w:rFonts w:ascii="Garamond" w:hAnsi="Garamond" w:cs="Arial"/>
          <w:bCs/>
          <w:color w:val="000000" w:themeColor="text1"/>
        </w:rPr>
      </w:pPr>
      <w:r w:rsidRPr="000113B8">
        <w:rPr>
          <w:rFonts w:ascii="Garamond" w:hAnsi="Garamond" w:cs="Arial"/>
          <w:bCs/>
          <w:color w:val="000000" w:themeColor="text1"/>
        </w:rPr>
        <w:t xml:space="preserve">En el evento de que se trate de proponente plural por lo menos uno de sus integrantes deberá ostentar dicha </w:t>
      </w:r>
      <w:r w:rsidRPr="000113B8">
        <w:rPr>
          <w:rFonts w:ascii="Garamond" w:hAnsi="Garamond" w:cs="Arial"/>
          <w:bCs/>
          <w:color w:val="000000" w:themeColor="text1"/>
        </w:rPr>
        <w:lastRenderedPageBreak/>
        <w:t>calidad y tener una participación igual o superior al 10% en el consorcio o unión temporal.</w:t>
      </w:r>
    </w:p>
    <w:p w14:paraId="5F3D8CC4" w14:textId="77777777" w:rsidR="006D367F" w:rsidRPr="000113B8" w:rsidRDefault="006D367F" w:rsidP="006D367F">
      <w:pPr>
        <w:jc w:val="both"/>
        <w:rPr>
          <w:rFonts w:ascii="Garamond" w:hAnsi="Garamond" w:cs="Arial"/>
          <w:bCs/>
          <w:color w:val="000000" w:themeColor="text1"/>
        </w:rPr>
      </w:pPr>
    </w:p>
    <w:p w14:paraId="574E33FD" w14:textId="77777777" w:rsidR="006D367F" w:rsidRPr="000113B8" w:rsidRDefault="006D367F" w:rsidP="006D367F">
      <w:pPr>
        <w:jc w:val="both"/>
        <w:rPr>
          <w:rFonts w:ascii="Garamond" w:hAnsi="Garamond" w:cs="Arial"/>
          <w:bCs/>
          <w:color w:val="000000" w:themeColor="text1"/>
        </w:rPr>
      </w:pPr>
      <w:r w:rsidRPr="000113B8">
        <w:rPr>
          <w:rFonts w:ascii="Garamond" w:hAnsi="Garamond" w:cs="Arial"/>
          <w:b/>
          <w:bCs/>
          <w:color w:val="000000" w:themeColor="text1"/>
        </w:rPr>
        <w:t>NOTA:</w:t>
      </w:r>
      <w:r w:rsidRPr="000113B8">
        <w:rPr>
          <w:rFonts w:ascii="Garamond" w:hAnsi="Garamond" w:cs="Arial"/>
          <w:bCs/>
          <w:color w:val="000000" w:themeColor="text1"/>
        </w:rPr>
        <w:t xml:space="preserve"> Se acreditará la calidad de emprendimientos y empresas de mujeres, el cumplimiento de lo establecido en el numeral 2.2.1.2.4.2.14 del Decreto 1082 de 2015 adicionado por el artículo 3 del Decreto 1860 de 2021. </w:t>
      </w:r>
    </w:p>
    <w:p w14:paraId="6E2D4341" w14:textId="77777777" w:rsidR="006D367F" w:rsidRPr="000113B8" w:rsidRDefault="006D367F" w:rsidP="006D367F">
      <w:pPr>
        <w:jc w:val="both"/>
        <w:rPr>
          <w:rFonts w:ascii="Garamond" w:hAnsi="Garamond" w:cs="Arial"/>
          <w:bCs/>
          <w:color w:val="000000" w:themeColor="text1"/>
        </w:rPr>
      </w:pPr>
    </w:p>
    <w:p w14:paraId="597A065A" w14:textId="11303963" w:rsidR="006D367F" w:rsidRPr="000113B8" w:rsidRDefault="006D367F" w:rsidP="00C54B99">
      <w:pPr>
        <w:pStyle w:val="Prrafodelista"/>
        <w:widowControl/>
        <w:numPr>
          <w:ilvl w:val="0"/>
          <w:numId w:val="24"/>
        </w:numPr>
        <w:autoSpaceDE/>
        <w:autoSpaceDN/>
        <w:spacing w:after="200"/>
        <w:contextualSpacing/>
        <w:jc w:val="both"/>
        <w:rPr>
          <w:rFonts w:ascii="Garamond" w:hAnsi="Garamond" w:cs="Arial"/>
          <w:b/>
          <w:bCs/>
          <w:color w:val="000000" w:themeColor="text1"/>
        </w:rPr>
      </w:pPr>
      <w:r w:rsidRPr="000113B8">
        <w:rPr>
          <w:rFonts w:ascii="Garamond" w:hAnsi="Garamond" w:cs="Arial"/>
          <w:b/>
          <w:bCs/>
          <w:color w:val="000000" w:themeColor="text1"/>
        </w:rPr>
        <w:t>VERIFICACIÓN DE LA EXISTENCIA DE UN AMP (ACUERDO MARCO DE PRECIOS VIGENTE)</w:t>
      </w:r>
    </w:p>
    <w:p w14:paraId="3952A0B5" w14:textId="77777777" w:rsidR="006D367F" w:rsidRPr="000113B8" w:rsidRDefault="006D367F" w:rsidP="006D367F">
      <w:pPr>
        <w:jc w:val="both"/>
        <w:rPr>
          <w:rFonts w:ascii="Garamond" w:hAnsi="Garamond" w:cs="Arial"/>
          <w:bCs/>
          <w:color w:val="000000" w:themeColor="text1"/>
          <w:kern w:val="3"/>
          <w:lang w:eastAsia="zh-CN" w:bidi="hi-IN"/>
        </w:rPr>
      </w:pPr>
      <w:r w:rsidRPr="000113B8">
        <w:rPr>
          <w:rFonts w:ascii="Garamond" w:hAnsi="Garamond" w:cs="Arial"/>
          <w:bCs/>
          <w:color w:val="000000" w:themeColor="text1"/>
          <w:kern w:val="3"/>
          <w:lang w:eastAsia="zh-CN" w:bidi="hi-IN"/>
        </w:rPr>
        <w:t>El artículo 2.2.1.2.1.2.7 del Decreto 1082 de 2015 establece que las entidades estatales de la rama ejecutiva del poder público del orden nacional, sometidas al Estatuto de Contratación, están obligadas a adquirir bienes y servicios de características técnicas uniformes a través de los Acuerdos Marco de Precios.</w:t>
      </w:r>
    </w:p>
    <w:p w14:paraId="31EC1CD1" w14:textId="77777777" w:rsidR="006D367F" w:rsidRPr="000113B8" w:rsidRDefault="006D367F" w:rsidP="006D367F">
      <w:pPr>
        <w:jc w:val="both"/>
        <w:rPr>
          <w:rFonts w:ascii="Garamond" w:hAnsi="Garamond" w:cs="Arial"/>
          <w:bCs/>
          <w:color w:val="000000" w:themeColor="text1"/>
          <w:kern w:val="3"/>
          <w:lang w:eastAsia="zh-CN" w:bidi="hi-IN"/>
        </w:rPr>
      </w:pPr>
    </w:p>
    <w:p w14:paraId="4A1A4854" w14:textId="77777777" w:rsidR="006D367F" w:rsidRPr="000113B8" w:rsidRDefault="006D367F" w:rsidP="006D367F">
      <w:pPr>
        <w:jc w:val="both"/>
        <w:rPr>
          <w:rFonts w:ascii="Garamond" w:hAnsi="Garamond" w:cs="Arial"/>
          <w:bCs/>
          <w:color w:val="000000" w:themeColor="text1"/>
        </w:rPr>
      </w:pPr>
      <w:r w:rsidRPr="000113B8">
        <w:rPr>
          <w:rFonts w:ascii="Garamond" w:hAnsi="Garamond" w:cs="Arial"/>
          <w:bCs/>
          <w:color w:val="000000" w:themeColor="text1"/>
        </w:rPr>
        <w:t>No obstante, previa verificación realizada el día de hoy, 4 de abril de 2026, se constató que no existe un Acuerdo Marco de Precios vigente que cubra la necesidad que se pretende satisfacer en el presente proceso de contratación, razón por la cual no resulta aplicable lo dispuesto en el referido artículo.</w:t>
      </w:r>
    </w:p>
    <w:p w14:paraId="6D55A683" w14:textId="77777777" w:rsidR="006D367F" w:rsidRPr="000113B8" w:rsidRDefault="006D367F" w:rsidP="006D367F">
      <w:pPr>
        <w:pStyle w:val="Standard"/>
        <w:autoSpaceDE w:val="0"/>
        <w:jc w:val="both"/>
        <w:rPr>
          <w:rFonts w:ascii="Garamond" w:hAnsi="Garamond" w:cs="Garamond"/>
          <w:color w:val="000000" w:themeColor="text1"/>
          <w:sz w:val="22"/>
          <w:szCs w:val="22"/>
        </w:rPr>
      </w:pPr>
    </w:p>
    <w:p w14:paraId="09E1F44B" w14:textId="72B26FA5" w:rsidR="006D367F" w:rsidRPr="000113B8" w:rsidRDefault="006D367F" w:rsidP="00C54B99">
      <w:pPr>
        <w:pStyle w:val="Prrafodelista"/>
        <w:widowControl/>
        <w:numPr>
          <w:ilvl w:val="0"/>
          <w:numId w:val="24"/>
        </w:numPr>
        <w:autoSpaceDE/>
        <w:autoSpaceDN/>
        <w:spacing w:after="200"/>
        <w:contextualSpacing/>
        <w:jc w:val="both"/>
        <w:rPr>
          <w:rFonts w:ascii="Garamond" w:hAnsi="Garamond" w:cs="Arial"/>
          <w:b/>
          <w:color w:val="000000" w:themeColor="text1"/>
          <w:lang w:eastAsia="es-CO"/>
        </w:rPr>
      </w:pPr>
      <w:r w:rsidRPr="000113B8">
        <w:rPr>
          <w:rFonts w:ascii="Garamond" w:hAnsi="Garamond" w:cs="Arial"/>
          <w:b/>
          <w:color w:val="000000" w:themeColor="text1"/>
          <w:lang w:eastAsia="es-CO"/>
        </w:rPr>
        <w:t>FOMENTO A LA EJECUCIÓN DE CONTRATOS ESTATALES POR PARTE DE POBLACIÓN EN POBREZA EXTREMA, DESPLAZADOS POR LA VIOLENCIA, PERSONAS EN PROCESO DE REINTEGRACIÓN O REINCORPORACIÓN Y SUJETOS DE ESPECIAL PROTECCIÓN CONSTITUCIONAL</w:t>
      </w:r>
    </w:p>
    <w:p w14:paraId="3C6588BC" w14:textId="77777777" w:rsidR="006D367F" w:rsidRPr="000113B8" w:rsidRDefault="006D367F" w:rsidP="006D367F">
      <w:pPr>
        <w:jc w:val="both"/>
        <w:rPr>
          <w:rFonts w:ascii="Garamond" w:eastAsia="Batang" w:hAnsi="Garamond" w:cs="Arial"/>
          <w:color w:val="000000" w:themeColor="text1"/>
        </w:rPr>
      </w:pPr>
      <w:r w:rsidRPr="000113B8">
        <w:rPr>
          <w:rFonts w:ascii="Garamond" w:eastAsia="Batang" w:hAnsi="Garamond" w:cs="Arial"/>
          <w:color w:val="000000" w:themeColor="text1"/>
        </w:rPr>
        <w:t xml:space="preserve">De conformidad con el articulo artículo 2.2.1.2.4.2.16 del Decreto 1082 de 2015, modificado por el Decreto 1860 de 2021 y teniendo en cuenta las características del contrato de seguro, el objeto contractual y el alcance de las obligaciones del contratista adjudicatario, </w:t>
      </w:r>
      <w:r w:rsidRPr="000113B8">
        <w:rPr>
          <w:rFonts w:ascii="Garamond" w:eastAsia="Batang" w:hAnsi="Garamond" w:cs="Arial"/>
          <w:color w:val="000000" w:themeColor="text1"/>
          <w:u w:val="single"/>
        </w:rPr>
        <w:t>no será necesario exigir</w:t>
      </w:r>
      <w:r w:rsidRPr="000113B8">
        <w:rPr>
          <w:rFonts w:ascii="Garamond" w:eastAsia="Batang" w:hAnsi="Garamond" w:cs="Arial"/>
          <w:color w:val="000000" w:themeColor="text1"/>
        </w:rPr>
        <w:t>, para la ejecución del contrato que se suscriba, la participación de población en pobreza extrema, desplazados por la violencia, personas en proceso de reintegración o reincorporación y sujetos de especial protección constitucional.</w:t>
      </w:r>
    </w:p>
    <w:p w14:paraId="1E3B6393" w14:textId="77777777" w:rsidR="006D367F" w:rsidRPr="000113B8" w:rsidRDefault="006D367F" w:rsidP="006D367F">
      <w:pPr>
        <w:jc w:val="both"/>
        <w:rPr>
          <w:rFonts w:ascii="Garamond" w:eastAsia="Batang" w:hAnsi="Garamond" w:cs="Arial"/>
          <w:color w:val="000000" w:themeColor="text1"/>
        </w:rPr>
      </w:pPr>
    </w:p>
    <w:p w14:paraId="6767B89F" w14:textId="77777777" w:rsidR="006D367F" w:rsidRPr="000113B8" w:rsidRDefault="006D367F" w:rsidP="006D367F">
      <w:pPr>
        <w:jc w:val="both"/>
        <w:rPr>
          <w:rFonts w:ascii="Garamond" w:eastAsia="Batang" w:hAnsi="Garamond" w:cs="Arial"/>
          <w:color w:val="000000" w:themeColor="text1"/>
        </w:rPr>
      </w:pPr>
      <w:r w:rsidRPr="000113B8">
        <w:rPr>
          <w:rFonts w:ascii="Garamond" w:eastAsia="Batang" w:hAnsi="Garamond" w:cs="Arial"/>
          <w:color w:val="000000" w:themeColor="text1"/>
        </w:rPr>
        <w:t>Lo anterior fundamentado en que una vez efectuado el análisis correspondiente no se ha encontrado técnicamente viable la posibilidad de incluir como obligación del contratista destinar al cumplimiento del objeto contractual la provisión de bienes o servicios por parte de dicha  población teniendo en cuenta características del contrato de seguro, el objeto contractual y el alcance de las obligaciones del contratista adjudicatario, en donde para el desarrollo del objeto contractual el personal del contratista no tendrá dedicación exclusiva a la Entidad, pero  requiere de una experticia en el tema.</w:t>
      </w:r>
    </w:p>
    <w:p w14:paraId="11228AC6" w14:textId="77777777" w:rsidR="006D367F" w:rsidRPr="000113B8" w:rsidRDefault="006D367F" w:rsidP="006D367F">
      <w:pPr>
        <w:jc w:val="both"/>
        <w:rPr>
          <w:rFonts w:ascii="Garamond" w:eastAsia="Batang" w:hAnsi="Garamond" w:cs="Arial"/>
          <w:color w:val="000000" w:themeColor="text1"/>
        </w:rPr>
      </w:pPr>
    </w:p>
    <w:p w14:paraId="38F19F59" w14:textId="25184101" w:rsidR="006D367F" w:rsidRPr="000113B8" w:rsidRDefault="006D367F" w:rsidP="00C54B99">
      <w:pPr>
        <w:pStyle w:val="Standard"/>
        <w:numPr>
          <w:ilvl w:val="0"/>
          <w:numId w:val="24"/>
        </w:numPr>
        <w:jc w:val="both"/>
        <w:textAlignment w:val="auto"/>
        <w:rPr>
          <w:rFonts w:ascii="Garamond" w:hAnsi="Garamond" w:cs="Arial"/>
          <w:b/>
          <w:bCs/>
          <w:color w:val="000000" w:themeColor="text1"/>
          <w:sz w:val="22"/>
          <w:szCs w:val="22"/>
        </w:rPr>
      </w:pPr>
      <w:r w:rsidRPr="000113B8">
        <w:rPr>
          <w:rFonts w:ascii="Garamond" w:hAnsi="Garamond" w:cs="Arial"/>
          <w:b/>
          <w:bCs/>
          <w:color w:val="000000" w:themeColor="text1"/>
          <w:sz w:val="22"/>
          <w:szCs w:val="22"/>
        </w:rPr>
        <w:t>CRITERIOS AMBIENTALES</w:t>
      </w:r>
    </w:p>
    <w:p w14:paraId="287AF379" w14:textId="77777777" w:rsidR="006D367F" w:rsidRPr="000113B8" w:rsidRDefault="006D367F" w:rsidP="006D367F">
      <w:pPr>
        <w:pStyle w:val="Standard"/>
        <w:jc w:val="both"/>
        <w:rPr>
          <w:rFonts w:ascii="Garamond" w:hAnsi="Garamond" w:cs="Arial"/>
          <w:b/>
          <w:bCs/>
          <w:color w:val="000000" w:themeColor="text1"/>
          <w:sz w:val="22"/>
          <w:szCs w:val="22"/>
        </w:rPr>
      </w:pPr>
    </w:p>
    <w:p w14:paraId="0FDB3024" w14:textId="77777777" w:rsidR="006D367F" w:rsidRPr="000113B8" w:rsidRDefault="006D367F" w:rsidP="006D367F">
      <w:pPr>
        <w:pStyle w:val="Standard"/>
        <w:jc w:val="both"/>
        <w:rPr>
          <w:rFonts w:ascii="Garamond" w:hAnsi="Garamond" w:cs="Arial"/>
          <w:color w:val="000000" w:themeColor="text1"/>
          <w:sz w:val="22"/>
          <w:szCs w:val="22"/>
          <w:lang w:bidi="hi-IN"/>
        </w:rPr>
      </w:pPr>
      <w:r w:rsidRPr="000113B8">
        <w:rPr>
          <w:rFonts w:ascii="Garamond" w:hAnsi="Garamond" w:cs="Arial"/>
          <w:color w:val="000000" w:themeColor="text1"/>
          <w:sz w:val="22"/>
          <w:szCs w:val="22"/>
          <w:lang w:bidi="hi-IN"/>
        </w:rPr>
        <w:t>El proponente deberá dar estricto cumplimiento a la normatividad ambiental vigente a nivel nacional y distrital, asumiendo la responsabilidad por su conocimiento, aplicación y divulgación al personal vinculado a la ejecución del contrato, en concordancia con los principios de desarrollo sostenible, prevención, precaución y responsabilidad ambiental.</w:t>
      </w:r>
    </w:p>
    <w:p w14:paraId="66D29DFB" w14:textId="77777777" w:rsidR="006D367F" w:rsidRPr="000113B8" w:rsidRDefault="006D367F" w:rsidP="006D367F">
      <w:pPr>
        <w:pStyle w:val="Standard"/>
        <w:jc w:val="both"/>
        <w:rPr>
          <w:rFonts w:ascii="Garamond" w:hAnsi="Garamond" w:cs="Arial"/>
          <w:color w:val="000000" w:themeColor="text1"/>
          <w:sz w:val="22"/>
          <w:szCs w:val="22"/>
          <w:lang w:bidi="hi-IN"/>
        </w:rPr>
      </w:pPr>
    </w:p>
    <w:p w14:paraId="39039C45" w14:textId="77777777" w:rsidR="006D367F" w:rsidRPr="000113B8" w:rsidRDefault="006D367F" w:rsidP="006D367F">
      <w:pPr>
        <w:pStyle w:val="Standard"/>
        <w:jc w:val="both"/>
        <w:rPr>
          <w:rFonts w:ascii="Garamond" w:hAnsi="Garamond" w:cs="Arial"/>
          <w:color w:val="000000" w:themeColor="text1"/>
          <w:sz w:val="22"/>
          <w:szCs w:val="22"/>
          <w:lang w:bidi="hi-IN"/>
        </w:rPr>
      </w:pPr>
      <w:r w:rsidRPr="000113B8">
        <w:rPr>
          <w:rFonts w:ascii="Garamond" w:hAnsi="Garamond" w:cs="Arial"/>
          <w:color w:val="000000" w:themeColor="text1"/>
          <w:sz w:val="22"/>
          <w:szCs w:val="22"/>
          <w:lang w:bidi="hi-IN"/>
        </w:rPr>
        <w:t>En desarrollo de lo anterior, el contratista deberá conocer, adoptar e implementar la política ambiental de la Alcaldía Local de Sumapaz, garantizando la alineación de sus procesos operativos y administrativos con los lineamientos institucionales de gestión ambiental y ecoeficiencia.</w:t>
      </w:r>
    </w:p>
    <w:p w14:paraId="5A8EE718" w14:textId="77777777" w:rsidR="006D367F" w:rsidRPr="000113B8" w:rsidRDefault="006D367F" w:rsidP="006D367F">
      <w:pPr>
        <w:pStyle w:val="Standard"/>
        <w:jc w:val="both"/>
        <w:rPr>
          <w:rFonts w:ascii="Garamond" w:hAnsi="Garamond" w:cs="Arial"/>
          <w:color w:val="000000" w:themeColor="text1"/>
          <w:sz w:val="22"/>
          <w:szCs w:val="22"/>
          <w:lang w:bidi="hi-IN"/>
        </w:rPr>
      </w:pPr>
    </w:p>
    <w:p w14:paraId="3744705E" w14:textId="77777777" w:rsidR="006D367F" w:rsidRPr="000113B8" w:rsidRDefault="006D367F" w:rsidP="006D367F">
      <w:pPr>
        <w:pStyle w:val="Standard"/>
        <w:jc w:val="both"/>
        <w:rPr>
          <w:rFonts w:ascii="Garamond" w:hAnsi="Garamond" w:cs="Arial"/>
          <w:color w:val="000000" w:themeColor="text1"/>
          <w:sz w:val="22"/>
          <w:szCs w:val="22"/>
          <w:lang w:bidi="hi-IN"/>
        </w:rPr>
      </w:pPr>
      <w:r w:rsidRPr="000113B8">
        <w:rPr>
          <w:rFonts w:ascii="Garamond" w:hAnsi="Garamond" w:cs="Arial"/>
          <w:color w:val="000000" w:themeColor="text1"/>
          <w:sz w:val="22"/>
          <w:szCs w:val="22"/>
          <w:lang w:bidi="hi-IN"/>
        </w:rPr>
        <w:t>De manera específica, el contratista deberá implementar la estrategia de “cero papel”, mediante la adopción preferente de medios electrónicos para la gestión documental, comunicación y archivo de la información contractual. Esta obligación se fundamenta en los lineamientos distritales de sostenibilidad ambiental y eficiencia administrativa, orientados a la reducción del consumo de recursos naturales, la disminución de residuos y la optimización de los procesos internos, en coherencia con los instrumentos de planeación ambiental adoptados por la Alcaldía Local.</w:t>
      </w:r>
    </w:p>
    <w:p w14:paraId="57978829" w14:textId="77777777" w:rsidR="006D367F" w:rsidRPr="000113B8" w:rsidRDefault="006D367F" w:rsidP="006D367F">
      <w:pPr>
        <w:pStyle w:val="Standard"/>
        <w:jc w:val="both"/>
        <w:rPr>
          <w:rFonts w:ascii="Garamond" w:hAnsi="Garamond" w:cs="Arial"/>
          <w:color w:val="000000" w:themeColor="text1"/>
          <w:sz w:val="22"/>
          <w:szCs w:val="22"/>
          <w:lang w:bidi="hi-IN"/>
        </w:rPr>
      </w:pPr>
    </w:p>
    <w:p w14:paraId="6B4F67B5" w14:textId="77777777" w:rsidR="006D367F" w:rsidRPr="000113B8" w:rsidRDefault="006D367F" w:rsidP="006D367F">
      <w:pPr>
        <w:pStyle w:val="Standard"/>
        <w:jc w:val="both"/>
        <w:rPr>
          <w:rFonts w:ascii="Garamond" w:hAnsi="Garamond" w:cs="Arial"/>
          <w:color w:val="000000" w:themeColor="text1"/>
          <w:sz w:val="22"/>
          <w:szCs w:val="22"/>
          <w:lang w:bidi="hi-IN"/>
        </w:rPr>
      </w:pPr>
      <w:r w:rsidRPr="000113B8">
        <w:rPr>
          <w:rFonts w:ascii="Garamond" w:hAnsi="Garamond" w:cs="Arial"/>
          <w:color w:val="000000" w:themeColor="text1"/>
          <w:sz w:val="22"/>
          <w:szCs w:val="22"/>
          <w:lang w:bidi="hi-IN"/>
        </w:rPr>
        <w:lastRenderedPageBreak/>
        <w:t>Así mismo, el contratista se obliga a ejecutar el objeto contractual bajo condiciones que no generen riesgos para la salud humana, la seguridad ni el medio ambiente, debiendo adoptar las medidas preventivas necesarias para evitar impactos ambientales negativos. En caso de generarse algún impacto, este deberá ser gestionado mediante acciones de mitigación, corrección y, de ser necesario, compensación, conforme a la normatividad aplicable.</w:t>
      </w:r>
    </w:p>
    <w:p w14:paraId="604A6A49" w14:textId="77777777" w:rsidR="006D367F" w:rsidRPr="000113B8" w:rsidRDefault="006D367F" w:rsidP="006D367F">
      <w:pPr>
        <w:pStyle w:val="Standard"/>
        <w:jc w:val="both"/>
        <w:rPr>
          <w:rFonts w:ascii="Garamond" w:hAnsi="Garamond" w:cs="Arial"/>
          <w:color w:val="000000" w:themeColor="text1"/>
          <w:sz w:val="22"/>
          <w:szCs w:val="22"/>
          <w:lang w:bidi="hi-IN"/>
        </w:rPr>
      </w:pPr>
    </w:p>
    <w:p w14:paraId="21DC6324" w14:textId="77777777" w:rsidR="006D367F" w:rsidRPr="000113B8" w:rsidRDefault="006D367F" w:rsidP="006D367F">
      <w:pPr>
        <w:pStyle w:val="Standard"/>
        <w:jc w:val="both"/>
        <w:rPr>
          <w:rFonts w:ascii="Garamond" w:hAnsi="Garamond" w:cs="Arial"/>
          <w:color w:val="000000" w:themeColor="text1"/>
          <w:sz w:val="22"/>
          <w:szCs w:val="22"/>
          <w:lang w:bidi="hi-IN"/>
        </w:rPr>
      </w:pPr>
      <w:r w:rsidRPr="000113B8">
        <w:rPr>
          <w:rFonts w:ascii="Garamond" w:hAnsi="Garamond" w:cs="Arial"/>
          <w:color w:val="000000" w:themeColor="text1"/>
          <w:sz w:val="22"/>
          <w:szCs w:val="22"/>
          <w:lang w:bidi="hi-IN"/>
        </w:rPr>
        <w:t>Finalmente, en atención a lo dispuesto en el Procedimiento GCO-GCI-IN001 “</w:t>
      </w:r>
      <w:r w:rsidRPr="003B5FC3">
        <w:rPr>
          <w:rFonts w:ascii="Garamond" w:hAnsi="Garamond" w:cs="Arial"/>
          <w:i/>
          <w:color w:val="000000" w:themeColor="text1"/>
          <w:sz w:val="22"/>
          <w:szCs w:val="22"/>
          <w:lang w:bidi="hi-IN"/>
        </w:rPr>
        <w:t>Guía de Contratación Sostenible”</w:t>
      </w:r>
      <w:r w:rsidRPr="000113B8">
        <w:rPr>
          <w:rFonts w:ascii="Garamond" w:hAnsi="Garamond" w:cs="Arial"/>
          <w:color w:val="000000" w:themeColor="text1"/>
          <w:sz w:val="22"/>
          <w:szCs w:val="22"/>
          <w:lang w:bidi="hi-IN"/>
        </w:rPr>
        <w:t xml:space="preserve"> del proceso de Gestión Corporativa Local de la Secretaría Distrital de Gobierno (versión 05 del 12 de mayo de 2025), y considerando la naturaleza del objeto contractual “CONTRATAR LA PÓLIZA DE VIDA PARA LOS EDILES DE LA JUNTA ADMINISTRADORA LOCAL DEL FONDO DE DESARROLLO RURAL DE SUMAPAZ”., no se identifican criterios ambientales específicos adicionales derivados de las Fichas de Contratación Sostenible que resulten aplicables. No obstante, el cumplimiento de los lineamientos generales de sostenibilidad ambiental aquí establecidos será de carácter obligatorio durante la ejecución del contrato.</w:t>
      </w:r>
    </w:p>
    <w:p w14:paraId="1ED40FC8" w14:textId="77777777" w:rsidR="006D367F" w:rsidRPr="000113B8" w:rsidRDefault="006D367F" w:rsidP="006D367F">
      <w:pPr>
        <w:shd w:val="clear" w:color="auto" w:fill="FFFFFF"/>
        <w:tabs>
          <w:tab w:val="left" w:pos="6743"/>
        </w:tabs>
        <w:jc w:val="both"/>
        <w:rPr>
          <w:rFonts w:ascii="Garamond" w:hAnsi="Garamond" w:cs="Arial"/>
          <w:color w:val="000000" w:themeColor="text1"/>
        </w:rPr>
      </w:pPr>
      <w:r w:rsidRPr="000113B8">
        <w:rPr>
          <w:rFonts w:ascii="Garamond" w:hAnsi="Garamond" w:cs="Arial"/>
          <w:color w:val="000000" w:themeColor="text1"/>
        </w:rPr>
        <w:t xml:space="preserve"> </w:t>
      </w:r>
    </w:p>
    <w:p w14:paraId="486E2BDF" w14:textId="6F861091" w:rsidR="006D367F" w:rsidRPr="000113B8" w:rsidRDefault="006D367F" w:rsidP="00C54B99">
      <w:pPr>
        <w:pStyle w:val="Prrafodelista"/>
        <w:widowControl/>
        <w:numPr>
          <w:ilvl w:val="0"/>
          <w:numId w:val="24"/>
        </w:numPr>
        <w:autoSpaceDN/>
        <w:contextualSpacing/>
        <w:jc w:val="both"/>
        <w:rPr>
          <w:rFonts w:ascii="Garamond" w:eastAsia="Batang" w:hAnsi="Garamond"/>
          <w:b/>
          <w:color w:val="000000" w:themeColor="text1"/>
        </w:rPr>
      </w:pPr>
      <w:r w:rsidRPr="000113B8">
        <w:rPr>
          <w:rFonts w:ascii="Garamond" w:eastAsia="Batang" w:hAnsi="Garamond"/>
          <w:b/>
          <w:color w:val="000000" w:themeColor="text1"/>
        </w:rPr>
        <w:t>ACUERDO 798 DE 2021</w:t>
      </w:r>
    </w:p>
    <w:p w14:paraId="4595D70A" w14:textId="77777777" w:rsidR="006D367F" w:rsidRPr="000113B8" w:rsidRDefault="006D367F" w:rsidP="006D367F">
      <w:pPr>
        <w:pStyle w:val="Standard"/>
        <w:jc w:val="both"/>
        <w:rPr>
          <w:rFonts w:ascii="Garamond" w:eastAsia="Batang" w:hAnsi="Garamond"/>
          <w:color w:val="000000" w:themeColor="text1"/>
          <w:sz w:val="22"/>
          <w:szCs w:val="22"/>
        </w:rPr>
      </w:pPr>
    </w:p>
    <w:p w14:paraId="206769FC" w14:textId="77777777" w:rsidR="006D367F" w:rsidRPr="000113B8" w:rsidRDefault="006D367F" w:rsidP="006D367F">
      <w:pPr>
        <w:pStyle w:val="Standard"/>
        <w:jc w:val="both"/>
        <w:rPr>
          <w:rFonts w:ascii="Garamond" w:hAnsi="Garamond" w:cs="Arial"/>
          <w:color w:val="000000" w:themeColor="text1"/>
          <w:sz w:val="22"/>
          <w:szCs w:val="22"/>
        </w:rPr>
      </w:pPr>
      <w:r w:rsidRPr="000113B8">
        <w:rPr>
          <w:rFonts w:ascii="Garamond" w:eastAsia="Batang" w:hAnsi="Garamond"/>
          <w:color w:val="000000" w:themeColor="text1"/>
          <w:sz w:val="22"/>
          <w:szCs w:val="22"/>
        </w:rPr>
        <w:t>Teniendo en cuenta el análisis del sector y el tamaño empresarial de los posibles proponentes, no será aplicable el Acuerdo 798 de 2021, para la implementación de la estrategia de compras locales Bogotá compra Bogotá.</w:t>
      </w:r>
    </w:p>
    <w:p w14:paraId="3A59A9BC" w14:textId="77777777" w:rsidR="006D367F" w:rsidRPr="000113B8" w:rsidRDefault="006D367F" w:rsidP="006D367F">
      <w:pPr>
        <w:pStyle w:val="Standard"/>
        <w:jc w:val="both"/>
        <w:rPr>
          <w:rFonts w:ascii="Garamond" w:hAnsi="Garamond" w:cs="Arial"/>
          <w:color w:val="000000" w:themeColor="text1"/>
          <w:sz w:val="22"/>
          <w:szCs w:val="22"/>
          <w:lang w:val="es-ES"/>
        </w:rPr>
      </w:pPr>
    </w:p>
    <w:p w14:paraId="1CD16C30" w14:textId="36780C4D" w:rsidR="006D367F" w:rsidRPr="000113B8" w:rsidRDefault="006D367F" w:rsidP="00C54B99">
      <w:pPr>
        <w:pStyle w:val="Prrafodelista"/>
        <w:widowControl/>
        <w:numPr>
          <w:ilvl w:val="0"/>
          <w:numId w:val="24"/>
        </w:numPr>
        <w:autoSpaceDN/>
        <w:jc w:val="both"/>
        <w:rPr>
          <w:rFonts w:ascii="Garamond" w:eastAsia="Arial Narrow" w:hAnsi="Garamond" w:cs="Arial Narrow"/>
          <w:b/>
          <w:color w:val="000000" w:themeColor="text1"/>
        </w:rPr>
      </w:pPr>
      <w:r w:rsidRPr="000113B8">
        <w:rPr>
          <w:rFonts w:ascii="Garamond" w:eastAsia="Arial Narrow" w:hAnsi="Garamond" w:cs="Arial Narrow"/>
          <w:b/>
          <w:color w:val="000000" w:themeColor="text1"/>
        </w:rPr>
        <w:t>APLICACIÓN DECRETO DISTRITAL No. 643 DE 2025</w:t>
      </w:r>
    </w:p>
    <w:p w14:paraId="29302D94" w14:textId="77777777" w:rsidR="006D367F" w:rsidRPr="000113B8" w:rsidRDefault="006D367F" w:rsidP="006D367F">
      <w:pPr>
        <w:jc w:val="both"/>
        <w:rPr>
          <w:rFonts w:ascii="Garamond" w:eastAsia="Arial Narrow" w:hAnsi="Garamond" w:cs="Arial Narrow"/>
          <w:color w:val="000000" w:themeColor="text1"/>
        </w:rPr>
      </w:pPr>
    </w:p>
    <w:p w14:paraId="38514CD3" w14:textId="77777777" w:rsidR="006D367F" w:rsidRPr="000113B8" w:rsidRDefault="006D367F" w:rsidP="006D367F">
      <w:pPr>
        <w:jc w:val="both"/>
        <w:rPr>
          <w:rFonts w:ascii="Garamond" w:eastAsia="Arial Narrow" w:hAnsi="Garamond" w:cs="Arial Narrow"/>
          <w:color w:val="000000" w:themeColor="text1"/>
        </w:rPr>
      </w:pPr>
      <w:r w:rsidRPr="000113B8">
        <w:rPr>
          <w:rFonts w:ascii="Garamond" w:eastAsia="Arial Narrow" w:hAnsi="Garamond" w:cs="Arial Narrow"/>
          <w:color w:val="000000" w:themeColor="text1"/>
        </w:rPr>
        <w:t xml:space="preserve">El Fondo de Desarrollo Rural de Sumapaz, en consideración a los lineamientos impartidos en el artículo 29 del Decreto 643 de 2025, relacionada con las “MEDIDAS AFIRMATIVAS PARA LAS MUJERES EN LA CONTRATACIÓN PÚBLICA EN EL DISTRITO CAPITAL, ARTÍCULO 29° VINCULACIÓN DE MUJERES EN LA EJECUCIÓN DEL CONTRATO O CONVENIO”, ha definido para la presente contratación que es de obligatorio cumplimiento lo dispuesto en el artículo mencionado dadas las características específicas del contrato a celebrar. </w:t>
      </w:r>
    </w:p>
    <w:p w14:paraId="21FD0E20" w14:textId="77777777" w:rsidR="006D367F" w:rsidRPr="000113B8" w:rsidRDefault="006D367F" w:rsidP="006D367F">
      <w:pPr>
        <w:jc w:val="both"/>
        <w:rPr>
          <w:rFonts w:ascii="Garamond" w:eastAsia="Arial Narrow" w:hAnsi="Garamond" w:cs="Arial Narrow"/>
          <w:color w:val="000000" w:themeColor="text1"/>
        </w:rPr>
      </w:pPr>
    </w:p>
    <w:p w14:paraId="0413A271" w14:textId="77777777" w:rsidR="006D367F" w:rsidRPr="000113B8" w:rsidRDefault="006D367F" w:rsidP="006D367F">
      <w:pPr>
        <w:shd w:val="clear" w:color="auto" w:fill="FFFFFF"/>
        <w:jc w:val="both"/>
        <w:rPr>
          <w:rFonts w:ascii="Garamond" w:eastAsia="Arial Narrow" w:hAnsi="Garamond" w:cs="Arial Narrow"/>
          <w:color w:val="000000" w:themeColor="text1"/>
        </w:rPr>
      </w:pPr>
      <w:r w:rsidRPr="000113B8">
        <w:rPr>
          <w:rFonts w:ascii="Garamond" w:eastAsia="Arial Narrow" w:hAnsi="Garamond" w:cs="Arial Narrow"/>
          <w:color w:val="000000" w:themeColor="text1"/>
        </w:rPr>
        <w:t>Visto lo anterior, y considerando que la actividad económica en la que se enmarca el objeto del futuro contrato, se encuentra incluida en el citado Decreto dentro de las ramas de las actividades económicas a las cuales se les denominó como “Otras Ramas”, se deberá dar cumplimiento en la ejecución del contrato a lo indicado en el aludido artículo, así:</w:t>
      </w:r>
    </w:p>
    <w:p w14:paraId="004B811A" w14:textId="77777777" w:rsidR="006D367F" w:rsidRPr="000113B8" w:rsidRDefault="006D367F" w:rsidP="006D367F">
      <w:pPr>
        <w:jc w:val="both"/>
        <w:rPr>
          <w:rFonts w:ascii="Garamond" w:eastAsia="Arial Narrow" w:hAnsi="Garamond" w:cs="Arial Narrow"/>
          <w:color w:val="000000" w:themeColor="text1"/>
        </w:rPr>
      </w:pPr>
      <w:r w:rsidRPr="000113B8">
        <w:rPr>
          <w:rFonts w:ascii="Garamond" w:eastAsia="Arial Narrow" w:hAnsi="Garamond" w:cs="Arial Narrow"/>
          <w:color w:val="000000" w:themeColor="text1"/>
        </w:rPr>
        <w:t xml:space="preserve"> </w:t>
      </w:r>
    </w:p>
    <w:p w14:paraId="6BA470D3" w14:textId="77777777" w:rsidR="006D367F" w:rsidRPr="000113B8" w:rsidRDefault="006D367F" w:rsidP="006D367F">
      <w:pPr>
        <w:shd w:val="clear" w:color="auto" w:fill="FFFFFF"/>
        <w:jc w:val="both"/>
        <w:rPr>
          <w:rFonts w:ascii="Garamond" w:eastAsia="Arial Narrow" w:hAnsi="Garamond" w:cs="Arial Narrow"/>
          <w:color w:val="000000" w:themeColor="text1"/>
        </w:rPr>
      </w:pPr>
      <w:r w:rsidRPr="000113B8">
        <w:rPr>
          <w:rFonts w:ascii="Garamond" w:eastAsia="Arial Narrow" w:hAnsi="Garamond" w:cs="Arial Narrow"/>
          <w:color w:val="000000" w:themeColor="text1"/>
        </w:rPr>
        <w:t>Vinculación progresiva de mujeres en la ejecución del contrato.</w:t>
      </w:r>
    </w:p>
    <w:p w14:paraId="1E893934" w14:textId="77777777" w:rsidR="006D367F" w:rsidRPr="000113B8" w:rsidRDefault="006D367F" w:rsidP="006D367F">
      <w:pPr>
        <w:shd w:val="clear" w:color="auto" w:fill="FFFFFF"/>
        <w:jc w:val="both"/>
        <w:rPr>
          <w:rFonts w:ascii="Garamond" w:eastAsia="Arial Narrow" w:hAnsi="Garamond" w:cs="Arial Narrow"/>
          <w:color w:val="000000" w:themeColor="text1"/>
        </w:rPr>
      </w:pPr>
    </w:p>
    <w:tbl>
      <w:tblPr>
        <w:tblStyle w:val="Tablaconcuadrculaclara"/>
        <w:tblW w:w="8835" w:type="dxa"/>
        <w:jc w:val="center"/>
        <w:tblLayout w:type="fixed"/>
        <w:tblLook w:val="0600" w:firstRow="0" w:lastRow="0" w:firstColumn="0" w:lastColumn="0" w:noHBand="1" w:noVBand="1"/>
      </w:tblPr>
      <w:tblGrid>
        <w:gridCol w:w="2175"/>
        <w:gridCol w:w="2220"/>
        <w:gridCol w:w="2220"/>
        <w:gridCol w:w="2220"/>
      </w:tblGrid>
      <w:tr w:rsidR="009A7F8F" w:rsidRPr="000113B8" w14:paraId="72A0BE48" w14:textId="77777777" w:rsidTr="00EC7684">
        <w:trPr>
          <w:trHeight w:val="510"/>
          <w:jc w:val="center"/>
        </w:trPr>
        <w:tc>
          <w:tcPr>
            <w:tcW w:w="2175" w:type="dxa"/>
            <w:vMerge w:val="restart"/>
            <w:vAlign w:val="center"/>
          </w:tcPr>
          <w:p w14:paraId="11644CFF" w14:textId="77777777" w:rsidR="006D367F" w:rsidRPr="000113B8" w:rsidRDefault="006D367F" w:rsidP="00EC7684">
            <w:pPr>
              <w:ind w:right="240"/>
              <w:jc w:val="center"/>
              <w:rPr>
                <w:rFonts w:ascii="Garamond" w:eastAsia="Arial Narrow" w:hAnsi="Garamond" w:cs="Arial Narrow"/>
                <w:color w:val="000000" w:themeColor="text1"/>
                <w:sz w:val="22"/>
                <w:szCs w:val="22"/>
              </w:rPr>
            </w:pPr>
            <w:r w:rsidRPr="000113B8">
              <w:rPr>
                <w:rFonts w:ascii="Garamond" w:eastAsia="Arial Narrow" w:hAnsi="Garamond" w:cs="Arial Narrow"/>
                <w:color w:val="000000" w:themeColor="text1"/>
                <w:sz w:val="22"/>
                <w:szCs w:val="22"/>
              </w:rPr>
              <w:t>Ramas de actividad económica</w:t>
            </w:r>
          </w:p>
        </w:tc>
        <w:tc>
          <w:tcPr>
            <w:tcW w:w="6660" w:type="dxa"/>
            <w:gridSpan w:val="3"/>
            <w:vAlign w:val="center"/>
          </w:tcPr>
          <w:p w14:paraId="4FEA8297" w14:textId="77777777" w:rsidR="006D367F" w:rsidRPr="000113B8" w:rsidRDefault="006D367F" w:rsidP="00EC7684">
            <w:pPr>
              <w:ind w:right="240"/>
              <w:jc w:val="center"/>
              <w:rPr>
                <w:rFonts w:ascii="Garamond" w:eastAsia="Arial Narrow" w:hAnsi="Garamond" w:cs="Arial Narrow"/>
                <w:color w:val="000000" w:themeColor="text1"/>
                <w:sz w:val="22"/>
                <w:szCs w:val="22"/>
              </w:rPr>
            </w:pPr>
            <w:r w:rsidRPr="000113B8">
              <w:rPr>
                <w:rFonts w:ascii="Garamond" w:eastAsia="Arial Narrow" w:hAnsi="Garamond" w:cs="Arial Narrow"/>
                <w:color w:val="000000" w:themeColor="text1"/>
                <w:sz w:val="22"/>
                <w:szCs w:val="22"/>
              </w:rPr>
              <w:t>Porcentaje mínimo de mujeres que deben estar vinculadas a la ejecución de los contratos</w:t>
            </w:r>
          </w:p>
        </w:tc>
      </w:tr>
      <w:tr w:rsidR="009A7F8F" w:rsidRPr="000113B8" w14:paraId="3D8C0A39" w14:textId="77777777" w:rsidTr="00EC7684">
        <w:trPr>
          <w:trHeight w:val="510"/>
          <w:jc w:val="center"/>
        </w:trPr>
        <w:tc>
          <w:tcPr>
            <w:tcW w:w="2175" w:type="dxa"/>
            <w:vMerge/>
            <w:vAlign w:val="center"/>
          </w:tcPr>
          <w:p w14:paraId="1BB0D1C9" w14:textId="77777777" w:rsidR="006D367F" w:rsidRPr="000113B8" w:rsidRDefault="006D367F" w:rsidP="00EC7684">
            <w:pPr>
              <w:pBdr>
                <w:top w:val="nil"/>
                <w:left w:val="nil"/>
                <w:bottom w:val="nil"/>
                <w:right w:val="nil"/>
                <w:between w:val="nil"/>
              </w:pBdr>
              <w:spacing w:line="276" w:lineRule="auto"/>
              <w:jc w:val="center"/>
              <w:rPr>
                <w:rFonts w:ascii="Garamond" w:eastAsia="Arial Narrow" w:hAnsi="Garamond" w:cs="Arial Narrow"/>
                <w:color w:val="000000" w:themeColor="text1"/>
                <w:sz w:val="22"/>
                <w:szCs w:val="22"/>
              </w:rPr>
            </w:pPr>
          </w:p>
        </w:tc>
        <w:tc>
          <w:tcPr>
            <w:tcW w:w="2220" w:type="dxa"/>
            <w:vAlign w:val="center"/>
          </w:tcPr>
          <w:p w14:paraId="696CC8C9" w14:textId="77777777" w:rsidR="006D367F" w:rsidRPr="000113B8" w:rsidRDefault="006D367F" w:rsidP="00EC7684">
            <w:pPr>
              <w:ind w:right="240"/>
              <w:jc w:val="center"/>
              <w:rPr>
                <w:rFonts w:ascii="Garamond" w:eastAsia="Arial Narrow" w:hAnsi="Garamond" w:cs="Arial Narrow"/>
                <w:b/>
                <w:color w:val="000000" w:themeColor="text1"/>
                <w:sz w:val="22"/>
                <w:szCs w:val="22"/>
              </w:rPr>
            </w:pPr>
            <w:r w:rsidRPr="000113B8">
              <w:rPr>
                <w:rFonts w:ascii="Garamond" w:eastAsia="Arial Narrow" w:hAnsi="Garamond" w:cs="Arial Narrow"/>
                <w:b/>
                <w:color w:val="000000" w:themeColor="text1"/>
                <w:sz w:val="22"/>
                <w:szCs w:val="22"/>
              </w:rPr>
              <w:t>A partir del 1 de junio de 2021</w:t>
            </w:r>
          </w:p>
        </w:tc>
        <w:tc>
          <w:tcPr>
            <w:tcW w:w="2220" w:type="dxa"/>
            <w:vAlign w:val="center"/>
          </w:tcPr>
          <w:p w14:paraId="0D5FACC7" w14:textId="77777777" w:rsidR="006D367F" w:rsidRPr="000113B8" w:rsidRDefault="006D367F" w:rsidP="00EC7684">
            <w:pPr>
              <w:ind w:right="240"/>
              <w:jc w:val="center"/>
              <w:rPr>
                <w:rFonts w:ascii="Garamond" w:eastAsia="Arial Narrow" w:hAnsi="Garamond" w:cs="Arial Narrow"/>
                <w:b/>
                <w:color w:val="000000" w:themeColor="text1"/>
                <w:sz w:val="22"/>
                <w:szCs w:val="22"/>
              </w:rPr>
            </w:pPr>
            <w:r w:rsidRPr="000113B8">
              <w:rPr>
                <w:rFonts w:ascii="Garamond" w:eastAsia="Arial Narrow" w:hAnsi="Garamond" w:cs="Arial Narrow"/>
                <w:b/>
                <w:color w:val="000000" w:themeColor="text1"/>
                <w:sz w:val="22"/>
                <w:szCs w:val="22"/>
              </w:rPr>
              <w:t>A partir del 1 de junio de 2022</w:t>
            </w:r>
          </w:p>
        </w:tc>
        <w:tc>
          <w:tcPr>
            <w:tcW w:w="2220" w:type="dxa"/>
            <w:vAlign w:val="center"/>
          </w:tcPr>
          <w:p w14:paraId="2A73F508" w14:textId="77777777" w:rsidR="006D367F" w:rsidRPr="000113B8" w:rsidRDefault="006D367F" w:rsidP="00EC7684">
            <w:pPr>
              <w:ind w:right="240"/>
              <w:jc w:val="center"/>
              <w:rPr>
                <w:rFonts w:ascii="Garamond" w:eastAsia="Arial Narrow" w:hAnsi="Garamond" w:cs="Arial Narrow"/>
                <w:b/>
                <w:color w:val="000000" w:themeColor="text1"/>
                <w:sz w:val="22"/>
                <w:szCs w:val="22"/>
              </w:rPr>
            </w:pPr>
            <w:r w:rsidRPr="000113B8">
              <w:rPr>
                <w:rFonts w:ascii="Garamond" w:eastAsia="Arial Narrow" w:hAnsi="Garamond" w:cs="Arial Narrow"/>
                <w:b/>
                <w:color w:val="000000" w:themeColor="text1"/>
                <w:sz w:val="22"/>
                <w:szCs w:val="22"/>
              </w:rPr>
              <w:t>A partir del 1 de junio de 2023</w:t>
            </w:r>
          </w:p>
        </w:tc>
      </w:tr>
      <w:tr w:rsidR="009A7F8F" w:rsidRPr="000113B8" w14:paraId="3E28AA3A" w14:textId="77777777" w:rsidTr="00EC7684">
        <w:trPr>
          <w:trHeight w:val="270"/>
          <w:jc w:val="center"/>
        </w:trPr>
        <w:tc>
          <w:tcPr>
            <w:tcW w:w="2175" w:type="dxa"/>
            <w:vAlign w:val="center"/>
          </w:tcPr>
          <w:p w14:paraId="40711023" w14:textId="77777777" w:rsidR="006D367F" w:rsidRPr="000113B8" w:rsidRDefault="006D367F" w:rsidP="00EC7684">
            <w:pPr>
              <w:ind w:right="240"/>
              <w:jc w:val="center"/>
              <w:rPr>
                <w:rFonts w:ascii="Garamond" w:eastAsia="Arial Narrow" w:hAnsi="Garamond" w:cs="Arial Narrow"/>
                <w:color w:val="000000" w:themeColor="text1"/>
                <w:sz w:val="22"/>
                <w:szCs w:val="22"/>
              </w:rPr>
            </w:pPr>
            <w:r w:rsidRPr="000113B8">
              <w:rPr>
                <w:rFonts w:ascii="Garamond" w:eastAsia="Arial Narrow" w:hAnsi="Garamond" w:cs="Arial Narrow"/>
                <w:color w:val="000000" w:themeColor="text1"/>
                <w:sz w:val="22"/>
                <w:szCs w:val="22"/>
              </w:rPr>
              <w:t>Otras ramas</w:t>
            </w:r>
          </w:p>
        </w:tc>
        <w:tc>
          <w:tcPr>
            <w:tcW w:w="2220" w:type="dxa"/>
            <w:vAlign w:val="center"/>
          </w:tcPr>
          <w:p w14:paraId="4C84E9FA" w14:textId="77777777" w:rsidR="006D367F" w:rsidRPr="000113B8" w:rsidRDefault="006D367F" w:rsidP="00EC7684">
            <w:pPr>
              <w:ind w:right="240"/>
              <w:jc w:val="center"/>
              <w:rPr>
                <w:rFonts w:ascii="Garamond" w:eastAsia="Arial Narrow" w:hAnsi="Garamond" w:cs="Arial Narrow"/>
                <w:color w:val="000000" w:themeColor="text1"/>
                <w:sz w:val="22"/>
                <w:szCs w:val="22"/>
              </w:rPr>
            </w:pPr>
            <w:r w:rsidRPr="000113B8">
              <w:rPr>
                <w:rFonts w:ascii="Garamond" w:eastAsia="Arial Narrow" w:hAnsi="Garamond" w:cs="Arial Narrow"/>
                <w:color w:val="000000" w:themeColor="text1"/>
                <w:sz w:val="22"/>
                <w:szCs w:val="22"/>
              </w:rPr>
              <w:t>50%</w:t>
            </w:r>
          </w:p>
        </w:tc>
        <w:tc>
          <w:tcPr>
            <w:tcW w:w="2220" w:type="dxa"/>
            <w:vAlign w:val="center"/>
          </w:tcPr>
          <w:p w14:paraId="2210FECE" w14:textId="77777777" w:rsidR="006D367F" w:rsidRPr="000113B8" w:rsidRDefault="006D367F" w:rsidP="00EC7684">
            <w:pPr>
              <w:ind w:right="240"/>
              <w:jc w:val="center"/>
              <w:rPr>
                <w:rFonts w:ascii="Garamond" w:eastAsia="Arial Narrow" w:hAnsi="Garamond" w:cs="Arial Narrow"/>
                <w:color w:val="000000" w:themeColor="text1"/>
                <w:sz w:val="22"/>
                <w:szCs w:val="22"/>
              </w:rPr>
            </w:pPr>
            <w:r w:rsidRPr="000113B8">
              <w:rPr>
                <w:rFonts w:ascii="Garamond" w:eastAsia="Arial Narrow" w:hAnsi="Garamond" w:cs="Arial Narrow"/>
                <w:color w:val="000000" w:themeColor="text1"/>
                <w:sz w:val="22"/>
                <w:szCs w:val="22"/>
              </w:rPr>
              <w:t>50%</w:t>
            </w:r>
          </w:p>
        </w:tc>
        <w:tc>
          <w:tcPr>
            <w:tcW w:w="2220" w:type="dxa"/>
            <w:vAlign w:val="center"/>
          </w:tcPr>
          <w:p w14:paraId="010BD64B" w14:textId="77777777" w:rsidR="006D367F" w:rsidRPr="000113B8" w:rsidRDefault="006D367F" w:rsidP="00EC7684">
            <w:pPr>
              <w:ind w:right="240"/>
              <w:jc w:val="center"/>
              <w:rPr>
                <w:rFonts w:ascii="Garamond" w:eastAsia="Arial Narrow" w:hAnsi="Garamond" w:cs="Arial Narrow"/>
                <w:color w:val="000000" w:themeColor="text1"/>
                <w:sz w:val="22"/>
                <w:szCs w:val="22"/>
              </w:rPr>
            </w:pPr>
            <w:r w:rsidRPr="000113B8">
              <w:rPr>
                <w:rFonts w:ascii="Garamond" w:eastAsia="Arial Narrow" w:hAnsi="Garamond" w:cs="Arial Narrow"/>
                <w:color w:val="000000" w:themeColor="text1"/>
                <w:sz w:val="22"/>
                <w:szCs w:val="22"/>
              </w:rPr>
              <w:t>50%</w:t>
            </w:r>
          </w:p>
        </w:tc>
      </w:tr>
    </w:tbl>
    <w:p w14:paraId="391748A4" w14:textId="77777777" w:rsidR="006D367F" w:rsidRPr="000113B8" w:rsidRDefault="006D367F" w:rsidP="006D367F">
      <w:pPr>
        <w:jc w:val="both"/>
        <w:rPr>
          <w:rFonts w:ascii="Garamond" w:eastAsia="Arial Narrow" w:hAnsi="Garamond" w:cs="Arial Narrow"/>
          <w:b/>
          <w:color w:val="000000" w:themeColor="text1"/>
        </w:rPr>
      </w:pPr>
    </w:p>
    <w:p w14:paraId="4D4A8B27" w14:textId="77777777" w:rsidR="006D367F" w:rsidRDefault="006D367F" w:rsidP="006D367F">
      <w:pPr>
        <w:jc w:val="both"/>
        <w:rPr>
          <w:rFonts w:ascii="Garamond" w:eastAsia="Arial Narrow" w:hAnsi="Garamond" w:cs="Arial Narrow"/>
          <w:color w:val="000000" w:themeColor="text1"/>
        </w:rPr>
      </w:pPr>
      <w:r w:rsidRPr="000113B8">
        <w:rPr>
          <w:rFonts w:ascii="Garamond" w:eastAsia="Arial Narrow" w:hAnsi="Garamond" w:cs="Arial Narrow"/>
          <w:b/>
          <w:color w:val="000000" w:themeColor="text1"/>
        </w:rPr>
        <w:t>NOTA 1</w:t>
      </w:r>
      <w:r w:rsidRPr="000113B8">
        <w:rPr>
          <w:rFonts w:ascii="Garamond" w:eastAsia="Arial Narrow" w:hAnsi="Garamond" w:cs="Arial Narrow"/>
          <w:color w:val="000000" w:themeColor="text1"/>
        </w:rPr>
        <w:t>: Cuando los contratistas en la etapa de ejecución no vinculen o no mantengan el porcentaje mínimo de mujeres establecido en el contrato, podrán ser objeto de las multas, sanciones y demás consecuencias previstas por el incumplimiento contractual, según lo establezcan las cláusulas sancionatorias pactadas y las normas aplicables.</w:t>
      </w:r>
    </w:p>
    <w:p w14:paraId="281F1469" w14:textId="77777777" w:rsidR="00E60C08" w:rsidRPr="000113B8" w:rsidRDefault="00E60C08" w:rsidP="006D367F">
      <w:pPr>
        <w:jc w:val="both"/>
        <w:rPr>
          <w:rFonts w:ascii="Garamond" w:eastAsia="Arial Narrow" w:hAnsi="Garamond" w:cs="Arial Narrow"/>
          <w:color w:val="000000" w:themeColor="text1"/>
        </w:rPr>
      </w:pPr>
    </w:p>
    <w:p w14:paraId="3FC92D43" w14:textId="77777777" w:rsidR="006D367F" w:rsidRPr="000113B8" w:rsidRDefault="006D367F" w:rsidP="006D367F">
      <w:pPr>
        <w:jc w:val="both"/>
        <w:rPr>
          <w:rFonts w:ascii="Garamond" w:hAnsi="Garamond" w:cs="Arial"/>
          <w:color w:val="000000" w:themeColor="text1"/>
        </w:rPr>
      </w:pPr>
    </w:p>
    <w:p w14:paraId="23DA31DE" w14:textId="58840CB2" w:rsidR="006D367F" w:rsidRPr="000113B8" w:rsidRDefault="006D367F" w:rsidP="00C54B99">
      <w:pPr>
        <w:pStyle w:val="Prrafodelista"/>
        <w:widowControl/>
        <w:numPr>
          <w:ilvl w:val="0"/>
          <w:numId w:val="24"/>
        </w:numPr>
        <w:autoSpaceDE/>
        <w:autoSpaceDN/>
        <w:spacing w:after="200"/>
        <w:contextualSpacing/>
        <w:jc w:val="both"/>
        <w:rPr>
          <w:rFonts w:ascii="Garamond" w:hAnsi="Garamond"/>
          <w:b/>
          <w:color w:val="000000" w:themeColor="text1"/>
        </w:rPr>
      </w:pPr>
      <w:bookmarkStart w:id="38" w:name="_Toc41048572"/>
      <w:r w:rsidRPr="000113B8">
        <w:rPr>
          <w:rFonts w:ascii="Garamond" w:hAnsi="Garamond"/>
          <w:b/>
          <w:color w:val="000000" w:themeColor="text1"/>
        </w:rPr>
        <w:t>ANÁLISIS CAPACIDAD FINANCIERA</w:t>
      </w:r>
      <w:bookmarkEnd w:id="38"/>
    </w:p>
    <w:p w14:paraId="04B7D2EA" w14:textId="77777777" w:rsidR="006D367F" w:rsidRPr="000113B8" w:rsidRDefault="006D367F" w:rsidP="006D367F">
      <w:pPr>
        <w:jc w:val="both"/>
        <w:rPr>
          <w:rFonts w:ascii="Garamond" w:hAnsi="Garamond" w:cs="Arial"/>
          <w:color w:val="000000" w:themeColor="text1"/>
          <w:kern w:val="3"/>
          <w:lang w:val="es-ES_tradnl" w:eastAsia="es-CO" w:bidi="hi-IN"/>
        </w:rPr>
      </w:pPr>
      <w:r w:rsidRPr="000113B8">
        <w:rPr>
          <w:rFonts w:ascii="Garamond" w:hAnsi="Garamond" w:cs="Arial"/>
          <w:color w:val="000000" w:themeColor="text1"/>
          <w:kern w:val="3"/>
          <w:lang w:val="es-ES_tradnl" w:eastAsia="es-CO" w:bidi="hi-IN"/>
        </w:rPr>
        <w:t xml:space="preserve">Atendiendo lo establecido en el numeral 2 del artículo 2.2.1.2.1.5.2 del Decreto 1082 de 2015, y considerando que el presente proceso se adelanta bajo la modalidad de mínima cuantía, no se hace necesario exigir la verificación de indicadores financieros a los oferentes, en aplicación del principio de proporcionalidad de los </w:t>
      </w:r>
      <w:r w:rsidRPr="000113B8">
        <w:rPr>
          <w:rFonts w:ascii="Garamond" w:hAnsi="Garamond" w:cs="Arial"/>
          <w:color w:val="000000" w:themeColor="text1"/>
          <w:kern w:val="3"/>
          <w:lang w:val="es-ES_tradnl" w:eastAsia="es-CO" w:bidi="hi-IN"/>
        </w:rPr>
        <w:lastRenderedPageBreak/>
        <w:t>requisitos habilitantes frente a la naturaleza y valor del contrato.</w:t>
      </w:r>
    </w:p>
    <w:p w14:paraId="1B231681" w14:textId="77777777" w:rsidR="006D367F" w:rsidRPr="000113B8" w:rsidRDefault="006D367F" w:rsidP="006D367F">
      <w:pPr>
        <w:jc w:val="both"/>
        <w:rPr>
          <w:rFonts w:ascii="Garamond" w:hAnsi="Garamond" w:cs="Arial"/>
          <w:color w:val="000000" w:themeColor="text1"/>
          <w:kern w:val="3"/>
          <w:lang w:val="es-ES_tradnl" w:eastAsia="es-CO" w:bidi="hi-IN"/>
        </w:rPr>
      </w:pPr>
    </w:p>
    <w:p w14:paraId="2C230EE2" w14:textId="77777777" w:rsidR="006D367F" w:rsidRPr="000113B8" w:rsidRDefault="006D367F" w:rsidP="006D367F">
      <w:pPr>
        <w:jc w:val="both"/>
        <w:rPr>
          <w:rFonts w:ascii="Garamond" w:hAnsi="Garamond" w:cs="Arial"/>
          <w:color w:val="000000" w:themeColor="text1"/>
          <w:kern w:val="3"/>
          <w:lang w:val="es-ES_tradnl" w:eastAsia="es-CO" w:bidi="hi-IN"/>
        </w:rPr>
      </w:pPr>
      <w:r w:rsidRPr="000113B8">
        <w:rPr>
          <w:rFonts w:ascii="Garamond" w:hAnsi="Garamond" w:cs="Arial"/>
          <w:color w:val="000000" w:themeColor="text1"/>
          <w:kern w:val="3"/>
          <w:lang w:val="es-ES_tradnl" w:eastAsia="es-CO" w:bidi="hi-IN"/>
        </w:rPr>
        <w:t>Así mismo, se tiene en cuenta que el pago del contrato se realizará contra la entrega de la póliza de seguro, previa verificación de cumplimiento y recibo a satisfacción por parte de la entidad, lo cual mitiga el riesgo de incumplimiento contractual.</w:t>
      </w:r>
    </w:p>
    <w:p w14:paraId="57FEBA88" w14:textId="77777777" w:rsidR="006D367F" w:rsidRPr="000113B8" w:rsidRDefault="006D367F" w:rsidP="006D367F">
      <w:pPr>
        <w:jc w:val="both"/>
        <w:rPr>
          <w:rFonts w:ascii="Garamond" w:hAnsi="Garamond" w:cs="Arial"/>
          <w:color w:val="000000" w:themeColor="text1"/>
          <w:kern w:val="3"/>
          <w:lang w:val="es-ES_tradnl" w:eastAsia="es-CO" w:bidi="hi-IN"/>
        </w:rPr>
      </w:pPr>
    </w:p>
    <w:p w14:paraId="6246E9B7" w14:textId="77777777" w:rsidR="006D367F" w:rsidRPr="000113B8" w:rsidRDefault="006D367F" w:rsidP="006D367F">
      <w:pPr>
        <w:jc w:val="both"/>
        <w:rPr>
          <w:rFonts w:ascii="Garamond" w:hAnsi="Garamond" w:cs="Arial"/>
          <w:color w:val="000000" w:themeColor="text1"/>
          <w:kern w:val="3"/>
          <w:lang w:val="es-ES_tradnl" w:eastAsia="es-CO" w:bidi="hi-IN"/>
        </w:rPr>
      </w:pPr>
      <w:r w:rsidRPr="000113B8">
        <w:rPr>
          <w:rFonts w:ascii="Garamond" w:hAnsi="Garamond" w:cs="Arial"/>
          <w:color w:val="000000" w:themeColor="text1"/>
          <w:kern w:val="3"/>
          <w:lang w:val="es-ES_tradnl" w:eastAsia="es-CO" w:bidi="hi-IN"/>
        </w:rPr>
        <w:t>No obstante, es importante precisar que la actividad aseguradora se encuentra sometida a la inspección, vigilancia y control de la Superintendencia Financiera de Colombia, por lo cual las compañías de seguros que participan en este tipo de procesos cuentan con la capacidad técnica y financiera suficiente para cumplir con el objeto contractual.</w:t>
      </w:r>
    </w:p>
    <w:p w14:paraId="55810A6A" w14:textId="77777777" w:rsidR="006D367F" w:rsidRPr="000113B8" w:rsidRDefault="006D367F" w:rsidP="006D367F">
      <w:pPr>
        <w:jc w:val="both"/>
        <w:rPr>
          <w:rFonts w:ascii="Garamond" w:hAnsi="Garamond" w:cs="Arial"/>
          <w:color w:val="000000" w:themeColor="text1"/>
          <w:kern w:val="3"/>
          <w:lang w:val="es-ES_tradnl" w:eastAsia="es-CO" w:bidi="hi-IN"/>
        </w:rPr>
      </w:pPr>
    </w:p>
    <w:p w14:paraId="527964CA" w14:textId="77777777" w:rsidR="006D367F" w:rsidRPr="000113B8" w:rsidRDefault="006D367F" w:rsidP="006D367F">
      <w:pPr>
        <w:pStyle w:val="Standard"/>
        <w:autoSpaceDE w:val="0"/>
        <w:jc w:val="both"/>
        <w:rPr>
          <w:rFonts w:ascii="Garamond" w:hAnsi="Garamond" w:cs="Arial"/>
          <w:color w:val="000000" w:themeColor="text1"/>
          <w:sz w:val="22"/>
          <w:szCs w:val="22"/>
          <w:lang w:val="es-ES_tradnl" w:eastAsia="es-CO" w:bidi="hi-IN"/>
        </w:rPr>
      </w:pPr>
      <w:r w:rsidRPr="000113B8">
        <w:rPr>
          <w:rFonts w:ascii="Garamond" w:hAnsi="Garamond" w:cs="Arial"/>
          <w:color w:val="000000" w:themeColor="text1"/>
          <w:sz w:val="22"/>
          <w:szCs w:val="22"/>
          <w:lang w:val="es-ES_tradnl" w:eastAsia="es-CO" w:bidi="hi-IN"/>
        </w:rPr>
        <w:t>En este sentido, dichas entidades deben cumplir con los requisitos establecidos en el Estatuto Orgánico del Sistema Financiero y en el Decreto 2555 de 2010, modificado, entre otros, por el Decreto 2954 de 2010, los cuales establecen condiciones de solvencia, reservas técnicas y patrimonio adecuado que garantizan la atención de las obligaciones derivadas de los contratos de seguro.</w:t>
      </w:r>
    </w:p>
    <w:p w14:paraId="0588B58E" w14:textId="77777777" w:rsidR="006D367F" w:rsidRPr="000113B8" w:rsidRDefault="006D367F" w:rsidP="003E7F6B">
      <w:pPr>
        <w:jc w:val="both"/>
        <w:rPr>
          <w:rFonts w:ascii="Garamond" w:hAnsi="Garamond" w:cs="Arial"/>
          <w:bCs/>
          <w:color w:val="000000" w:themeColor="text1"/>
          <w:lang w:val="es-ES_tradnl"/>
        </w:rPr>
      </w:pPr>
    </w:p>
    <w:p w14:paraId="12F17D09" w14:textId="77777777" w:rsidR="004F5681" w:rsidRPr="000113B8" w:rsidRDefault="004F5681" w:rsidP="00C54B99">
      <w:pPr>
        <w:pStyle w:val="Prrafodelista"/>
        <w:numPr>
          <w:ilvl w:val="0"/>
          <w:numId w:val="24"/>
        </w:numPr>
        <w:rPr>
          <w:rFonts w:ascii="Garamond" w:hAnsi="Garamond"/>
          <w:color w:val="000000" w:themeColor="text1"/>
        </w:rPr>
      </w:pPr>
      <w:r w:rsidRPr="000113B8">
        <w:rPr>
          <w:rFonts w:ascii="Garamond" w:eastAsia="Garamond" w:hAnsi="Garamond" w:cs="Garamond"/>
          <w:b/>
          <w:bCs/>
          <w:color w:val="000000" w:themeColor="text1"/>
        </w:rPr>
        <w:t>CONCLUSION GENERAL</w:t>
      </w:r>
    </w:p>
    <w:p w14:paraId="0DDC76D9" w14:textId="77777777" w:rsidR="00C36E43" w:rsidRPr="000113B8" w:rsidRDefault="00C36E43" w:rsidP="00C36E43">
      <w:pPr>
        <w:rPr>
          <w:rFonts w:ascii="Garamond" w:hAnsi="Garamond"/>
          <w:color w:val="000000" w:themeColor="text1"/>
        </w:rPr>
      </w:pPr>
    </w:p>
    <w:p w14:paraId="7EC58D52" w14:textId="77777777" w:rsidR="00866549" w:rsidRPr="000113B8" w:rsidRDefault="00866549" w:rsidP="00866549">
      <w:pPr>
        <w:pStyle w:val="Default"/>
        <w:jc w:val="both"/>
        <w:rPr>
          <w:rFonts w:ascii="Garamond" w:hAnsi="Garamond"/>
          <w:color w:val="000000" w:themeColor="text1"/>
          <w:sz w:val="22"/>
          <w:szCs w:val="22"/>
        </w:rPr>
      </w:pPr>
      <w:r w:rsidRPr="000113B8">
        <w:rPr>
          <w:rFonts w:ascii="Garamond" w:hAnsi="Garamond"/>
          <w:color w:val="000000" w:themeColor="text1"/>
          <w:sz w:val="22"/>
          <w:szCs w:val="22"/>
        </w:rPr>
        <w:t>El análisis integral del sector asegurador colombiano evidencia que se trata de un mercado competitivo, regulado y en constante crecimiento, con condiciones favorables para la contratación de pólizas de vida en el sector público. La existencia de múltiples aseguradoras consolidadas, la regulación estricta de la Superintendencia Financiera de Colombia y la estabilidad de la demanda en el ramo de vida grupo generan un entorno confiable y seguro para la gestión de riesgos.</w:t>
      </w:r>
    </w:p>
    <w:p w14:paraId="73CBB389" w14:textId="77777777" w:rsidR="00866549" w:rsidRPr="000113B8" w:rsidRDefault="00866549" w:rsidP="00866549">
      <w:pPr>
        <w:pStyle w:val="Default"/>
        <w:jc w:val="both"/>
        <w:rPr>
          <w:rFonts w:ascii="Garamond" w:hAnsi="Garamond"/>
          <w:color w:val="000000" w:themeColor="text1"/>
          <w:sz w:val="22"/>
          <w:szCs w:val="22"/>
        </w:rPr>
      </w:pPr>
    </w:p>
    <w:p w14:paraId="7BCB87C9" w14:textId="77777777" w:rsidR="00866549" w:rsidRPr="000113B8" w:rsidRDefault="00866549" w:rsidP="00866549">
      <w:pPr>
        <w:pStyle w:val="Default"/>
        <w:jc w:val="both"/>
        <w:rPr>
          <w:rFonts w:ascii="Garamond" w:hAnsi="Garamond"/>
          <w:color w:val="000000" w:themeColor="text1"/>
          <w:sz w:val="22"/>
          <w:szCs w:val="22"/>
        </w:rPr>
      </w:pPr>
      <w:r w:rsidRPr="000113B8">
        <w:rPr>
          <w:rFonts w:ascii="Garamond" w:hAnsi="Garamond"/>
          <w:color w:val="000000" w:themeColor="text1"/>
          <w:sz w:val="22"/>
          <w:szCs w:val="22"/>
        </w:rPr>
        <w:t>Las dinámicas del sector, incluyendo la transformación digital, la competencia en coberturas y primas, y la evaluación constante de riesgos, permiten estructurar procesos contractuales eficientes, transparentes y económicamente viables. Para la JAL de Sumapaz, la contratación de pólizas de vida se presenta como una estrategia técnica y financiera sólida, que garantiza la protección de los ediles y sus familias, promueve la adecuada administración de los recursos públicos y fortalece la resiliencia institucional frente a contingencias.</w:t>
      </w:r>
    </w:p>
    <w:p w14:paraId="507357C3" w14:textId="77777777" w:rsidR="00866549" w:rsidRPr="000113B8" w:rsidRDefault="00866549" w:rsidP="00866549">
      <w:pPr>
        <w:pStyle w:val="Default"/>
        <w:jc w:val="both"/>
        <w:rPr>
          <w:rFonts w:ascii="Garamond" w:hAnsi="Garamond"/>
          <w:color w:val="000000" w:themeColor="text1"/>
          <w:sz w:val="22"/>
          <w:szCs w:val="22"/>
        </w:rPr>
      </w:pPr>
    </w:p>
    <w:p w14:paraId="4A2513BE" w14:textId="77777777" w:rsidR="00866549" w:rsidRPr="000113B8" w:rsidRDefault="00866549" w:rsidP="00866549">
      <w:pPr>
        <w:pStyle w:val="Default"/>
        <w:jc w:val="both"/>
        <w:rPr>
          <w:rFonts w:ascii="Garamond" w:hAnsi="Garamond"/>
          <w:color w:val="000000" w:themeColor="text1"/>
          <w:sz w:val="22"/>
          <w:szCs w:val="22"/>
        </w:rPr>
      </w:pPr>
      <w:r w:rsidRPr="000113B8">
        <w:rPr>
          <w:rFonts w:ascii="Garamond" w:hAnsi="Garamond"/>
          <w:color w:val="000000" w:themeColor="text1"/>
          <w:sz w:val="22"/>
          <w:szCs w:val="22"/>
        </w:rPr>
        <w:t>En este sentido, la implementación de estos seguros no solo cumple con un objetivo de cobertura individual, sino que constituye una herramienta estratégica de gestión del riesgo, alineada con los principios de eficiencia, transparencia y responsabilidad en la contratación pública.</w:t>
      </w:r>
    </w:p>
    <w:p w14:paraId="23AA233D" w14:textId="77777777" w:rsidR="00C41ABC" w:rsidRPr="000113B8" w:rsidRDefault="00C41ABC" w:rsidP="00866549">
      <w:pPr>
        <w:pStyle w:val="Default"/>
        <w:jc w:val="both"/>
        <w:rPr>
          <w:rFonts w:ascii="Garamond" w:hAnsi="Garamond"/>
          <w:color w:val="000000" w:themeColor="text1"/>
          <w:sz w:val="22"/>
          <w:szCs w:val="22"/>
        </w:rPr>
      </w:pPr>
    </w:p>
    <w:p w14:paraId="29044784" w14:textId="77777777" w:rsidR="00C41ABC" w:rsidRPr="000113B8" w:rsidRDefault="00C41ABC" w:rsidP="00866549">
      <w:pPr>
        <w:pStyle w:val="Default"/>
        <w:jc w:val="both"/>
        <w:rPr>
          <w:rFonts w:ascii="Garamond" w:hAnsi="Garamond"/>
          <w:color w:val="000000" w:themeColor="text1"/>
          <w:sz w:val="22"/>
          <w:szCs w:val="22"/>
        </w:rPr>
      </w:pPr>
    </w:p>
    <w:bookmarkEnd w:id="17"/>
    <w:p w14:paraId="11C8B92E" w14:textId="77777777" w:rsidR="00866549" w:rsidRPr="000113B8" w:rsidRDefault="00866549" w:rsidP="00866549">
      <w:pPr>
        <w:pStyle w:val="Default"/>
        <w:rPr>
          <w:rFonts w:ascii="Garamond" w:hAnsi="Garamond"/>
          <w:color w:val="000000" w:themeColor="text1"/>
          <w:sz w:val="22"/>
          <w:szCs w:val="22"/>
        </w:rPr>
      </w:pPr>
      <w:r w:rsidRPr="000113B8">
        <w:rPr>
          <w:rFonts w:ascii="Garamond" w:hAnsi="Garamond"/>
          <w:noProof/>
          <w:color w:val="000000" w:themeColor="text1"/>
          <w:sz w:val="22"/>
          <w:szCs w:val="22"/>
        </w:rPr>
        <w:drawing>
          <wp:anchor distT="0" distB="0" distL="114300" distR="114300" simplePos="0" relativeHeight="487635456" behindDoc="0" locked="0" layoutInCell="1" allowOverlap="1" wp14:anchorId="55BD537E" wp14:editId="5B38F917">
            <wp:simplePos x="0" y="0"/>
            <wp:positionH relativeFrom="margin">
              <wp:posOffset>3228975</wp:posOffset>
            </wp:positionH>
            <wp:positionV relativeFrom="paragraph">
              <wp:posOffset>155575</wp:posOffset>
            </wp:positionV>
            <wp:extent cx="1466850" cy="234937"/>
            <wp:effectExtent l="0" t="0" r="0" b="0"/>
            <wp:wrapNone/>
            <wp:docPr id="167707333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466850" cy="234937"/>
                    </a:xfrm>
                    <a:prstGeom prst="rect">
                      <a:avLst/>
                    </a:prstGeom>
                    <a:noFill/>
                    <a:ln>
                      <a:noFill/>
                    </a:ln>
                  </pic:spPr>
                </pic:pic>
              </a:graphicData>
            </a:graphic>
            <wp14:sizeRelH relativeFrom="page">
              <wp14:pctWidth>0</wp14:pctWidth>
            </wp14:sizeRelH>
            <wp14:sizeRelV relativeFrom="page">
              <wp14:pctHeight>0</wp14:pctHeight>
            </wp14:sizeRelV>
          </wp:anchor>
        </w:drawing>
      </w:r>
      <w:r w:rsidRPr="000113B8">
        <w:rPr>
          <w:rFonts w:ascii="Garamond" w:hAnsi="Garamond"/>
          <w:b/>
          <w:bCs/>
          <w:color w:val="000000" w:themeColor="text1"/>
          <w:sz w:val="22"/>
          <w:szCs w:val="22"/>
        </w:rPr>
        <w:t xml:space="preserve">Proyectó: </w:t>
      </w:r>
      <w:r w:rsidRPr="000113B8">
        <w:rPr>
          <w:rFonts w:ascii="Garamond" w:hAnsi="Garamond"/>
          <w:color w:val="000000" w:themeColor="text1"/>
          <w:sz w:val="22"/>
          <w:szCs w:val="22"/>
          <w:lang w:val="es-ES"/>
        </w:rPr>
        <w:t>Diana Carolina Cárdenas Bravo. – Contratista -FDRS-Financiera</w:t>
      </w:r>
      <w:r w:rsidRPr="000113B8">
        <w:rPr>
          <w:rFonts w:ascii="Garamond" w:hAnsi="Garamond"/>
          <w:noProof/>
          <w:color w:val="000000" w:themeColor="text1"/>
          <w:sz w:val="22"/>
          <w:szCs w:val="22"/>
        </w:rPr>
        <w:drawing>
          <wp:inline distT="0" distB="0" distL="0" distR="0" wp14:anchorId="33B8CBE9" wp14:editId="53737A57">
            <wp:extent cx="1333500" cy="154996"/>
            <wp:effectExtent l="0" t="0" r="0" b="0"/>
            <wp:docPr id="35284048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840488" name=""/>
                    <pic:cNvPicPr/>
                  </pic:nvPicPr>
                  <pic:blipFill>
                    <a:blip r:embed="rId77"/>
                    <a:stretch>
                      <a:fillRect/>
                    </a:stretch>
                  </pic:blipFill>
                  <pic:spPr>
                    <a:xfrm>
                      <a:off x="0" y="0"/>
                      <a:ext cx="1395949" cy="162255"/>
                    </a:xfrm>
                    <a:prstGeom prst="rect">
                      <a:avLst/>
                    </a:prstGeom>
                  </pic:spPr>
                </pic:pic>
              </a:graphicData>
            </a:graphic>
          </wp:inline>
        </w:drawing>
      </w:r>
    </w:p>
    <w:p w14:paraId="5C74CA43" w14:textId="77777777" w:rsidR="00866549" w:rsidRPr="000113B8" w:rsidRDefault="00866549" w:rsidP="00866549">
      <w:pPr>
        <w:rPr>
          <w:rFonts w:ascii="Garamond" w:hAnsi="Garamond"/>
          <w:color w:val="000000" w:themeColor="text1"/>
        </w:rPr>
      </w:pPr>
      <w:r w:rsidRPr="000113B8">
        <w:rPr>
          <w:rFonts w:ascii="Garamond" w:hAnsi="Garamond"/>
          <w:b/>
          <w:bCs/>
          <w:color w:val="000000" w:themeColor="text1"/>
        </w:rPr>
        <w:t xml:space="preserve">                 </w:t>
      </w:r>
      <w:r w:rsidRPr="000113B8">
        <w:rPr>
          <w:rFonts w:ascii="Garamond" w:hAnsi="Garamond"/>
          <w:color w:val="000000" w:themeColor="text1"/>
        </w:rPr>
        <w:t>Adolfo Aballay - Contratista -FDRS-Financiera.</w:t>
      </w:r>
      <w:r w:rsidRPr="000113B8">
        <w:rPr>
          <w:rFonts w:ascii="Garamond" w:hAnsi="Garamond"/>
          <w:noProof/>
          <w:color w:val="000000" w:themeColor="text1"/>
        </w:rPr>
        <w:t xml:space="preserve"> </w:t>
      </w:r>
    </w:p>
    <w:p w14:paraId="07806128" w14:textId="2B7AB9ED" w:rsidR="00866549" w:rsidRPr="000113B8" w:rsidRDefault="00866549" w:rsidP="00866549">
      <w:pPr>
        <w:pStyle w:val="Default"/>
        <w:ind w:firstLine="720"/>
        <w:rPr>
          <w:rFonts w:ascii="Garamond" w:hAnsi="Garamond"/>
          <w:noProof/>
          <w:color w:val="000000" w:themeColor="text1"/>
          <w:sz w:val="22"/>
          <w:szCs w:val="22"/>
        </w:rPr>
      </w:pPr>
      <w:r w:rsidRPr="000113B8">
        <w:rPr>
          <w:rFonts w:ascii="Garamond" w:hAnsi="Garamond"/>
          <w:color w:val="000000" w:themeColor="text1"/>
          <w:sz w:val="22"/>
          <w:szCs w:val="22"/>
        </w:rPr>
        <w:t xml:space="preserve">    Carlos Rodríguez – Contratista -FDRS-Financiera.</w:t>
      </w:r>
      <w:r w:rsidR="00F47091" w:rsidRPr="000113B8">
        <w:rPr>
          <w:rFonts w:ascii="Garamond" w:hAnsi="Garamond"/>
          <w:color w:val="000000" w:themeColor="text1"/>
          <w:sz w:val="22"/>
          <w:szCs w:val="22"/>
        </w:rPr>
        <w:t xml:space="preserve"> </w:t>
      </w:r>
      <w:r w:rsidR="00F47091" w:rsidRPr="000113B8">
        <w:rPr>
          <w:rFonts w:ascii="Garamond" w:hAnsi="Garamond"/>
          <w:noProof/>
          <w:color w:val="000000" w:themeColor="text1"/>
          <w:sz w:val="22"/>
          <w:szCs w:val="22"/>
        </w:rPr>
        <w:drawing>
          <wp:inline distT="0" distB="0" distL="0" distR="0" wp14:anchorId="48E14B69" wp14:editId="2B532E87">
            <wp:extent cx="513976" cy="156672"/>
            <wp:effectExtent l="0" t="0" r="635"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28789" cy="161187"/>
                    </a:xfrm>
                    <a:prstGeom prst="rect">
                      <a:avLst/>
                    </a:prstGeom>
                    <a:noFill/>
                    <a:ln>
                      <a:noFill/>
                    </a:ln>
                  </pic:spPr>
                </pic:pic>
              </a:graphicData>
            </a:graphic>
          </wp:inline>
        </w:drawing>
      </w:r>
    </w:p>
    <w:p w14:paraId="631BF5D3" w14:textId="77777777" w:rsidR="00866549" w:rsidRPr="000113B8" w:rsidRDefault="00866549" w:rsidP="00866549">
      <w:pPr>
        <w:pStyle w:val="Default"/>
        <w:rPr>
          <w:rFonts w:ascii="Garamond" w:hAnsi="Garamond"/>
          <w:b/>
          <w:bCs/>
          <w:color w:val="000000" w:themeColor="text1"/>
          <w:sz w:val="22"/>
          <w:szCs w:val="22"/>
        </w:rPr>
      </w:pPr>
      <w:r w:rsidRPr="000113B8">
        <w:rPr>
          <w:rFonts w:ascii="Garamond" w:hAnsi="Garamond"/>
          <w:color w:val="000000" w:themeColor="text1"/>
          <w:sz w:val="22"/>
          <w:szCs w:val="22"/>
        </w:rPr>
        <w:t xml:space="preserve">  </w:t>
      </w:r>
    </w:p>
    <w:p w14:paraId="42B285A1" w14:textId="77777777" w:rsidR="00866549" w:rsidRPr="000113B8" w:rsidRDefault="00866549" w:rsidP="00866549">
      <w:pPr>
        <w:pStyle w:val="Default"/>
        <w:rPr>
          <w:rFonts w:ascii="Garamond" w:hAnsi="Garamond"/>
          <w:color w:val="000000" w:themeColor="text1"/>
          <w:sz w:val="22"/>
          <w:szCs w:val="22"/>
        </w:rPr>
      </w:pPr>
      <w:r w:rsidRPr="000113B8">
        <w:rPr>
          <w:rFonts w:ascii="Garamond" w:hAnsi="Garamond"/>
          <w:b/>
          <w:bCs/>
          <w:color w:val="000000" w:themeColor="text1"/>
          <w:sz w:val="22"/>
          <w:szCs w:val="22"/>
        </w:rPr>
        <w:t xml:space="preserve">Revisó y Aprobó </w:t>
      </w:r>
      <w:r w:rsidRPr="000113B8">
        <w:rPr>
          <w:rFonts w:ascii="Garamond" w:hAnsi="Garamond"/>
          <w:color w:val="000000" w:themeColor="text1"/>
          <w:sz w:val="22"/>
          <w:szCs w:val="22"/>
        </w:rPr>
        <w:t>Esmeralda González, - Líder del Grupo Financiero FDRS</w:t>
      </w:r>
    </w:p>
    <w:p w14:paraId="74826E21" w14:textId="0A3BF035" w:rsidR="00FF0808" w:rsidRPr="000113B8" w:rsidRDefault="00FF0808" w:rsidP="00866549">
      <w:pPr>
        <w:pStyle w:val="Default"/>
        <w:rPr>
          <w:rFonts w:ascii="Garamond" w:hAnsi="Garamond"/>
          <w:strike/>
          <w:color w:val="000000" w:themeColor="text1"/>
          <w:sz w:val="22"/>
          <w:szCs w:val="22"/>
        </w:rPr>
      </w:pPr>
    </w:p>
    <w:p w14:paraId="05F466AF" w14:textId="77777777" w:rsidR="00AE20DE" w:rsidRPr="000113B8" w:rsidRDefault="00AE20DE" w:rsidP="00AE20DE">
      <w:pPr>
        <w:pStyle w:val="Textoindependiente"/>
        <w:spacing w:before="242" w:line="237" w:lineRule="auto"/>
        <w:ind w:left="1135" w:right="850" w:hanging="874"/>
        <w:rPr>
          <w:rFonts w:ascii="Garamond" w:hAnsi="Garamond"/>
          <w:color w:val="000000" w:themeColor="text1"/>
        </w:rPr>
      </w:pPr>
    </w:p>
    <w:sectPr w:rsidR="00AE20DE" w:rsidRPr="000113B8">
      <w:headerReference w:type="default" r:id="rId79"/>
      <w:footerReference w:type="default" r:id="rId80"/>
      <w:pgSz w:w="12240" w:h="15840"/>
      <w:pgMar w:top="1620" w:right="1440" w:bottom="1320" w:left="1440" w:header="257" w:footer="11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232900" w14:textId="77777777" w:rsidR="00D43F3D" w:rsidRDefault="00D43F3D">
      <w:r>
        <w:separator/>
      </w:r>
    </w:p>
  </w:endnote>
  <w:endnote w:type="continuationSeparator" w:id="0">
    <w:p w14:paraId="523E8C28" w14:textId="77777777" w:rsidR="00D43F3D" w:rsidRDefault="00D43F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Noto Sans Symbols">
    <w:altName w:val="Calibri"/>
    <w:charset w:val="00"/>
    <w:family w:val="auto"/>
    <w:pitch w:val="default"/>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Lohit Hindi">
    <w:altName w:val="Times New Roman"/>
    <w:panose1 w:val="00000000000000000000"/>
    <w:charset w:val="00"/>
    <w:family w:val="roman"/>
    <w:notTrueType/>
    <w:pitch w:val="default"/>
  </w:font>
  <w:font w:name="Futura Bk BT">
    <w:charset w:val="00"/>
    <w:family w:val="swiss"/>
    <w:pitch w:val="variable"/>
    <w:sig w:usb0="00000001" w:usb1="00000000" w:usb2="00000000" w:usb3="00000000" w:csb0="0000001B"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1A246B" w14:textId="7A90C4BC" w:rsidR="00EC7684" w:rsidRDefault="00EC7684">
    <w:pPr>
      <w:pStyle w:val="Textoindependiente"/>
      <w:spacing w:line="14" w:lineRule="auto"/>
      <w:rPr>
        <w:sz w:val="20"/>
      </w:rPr>
    </w:pPr>
    <w:r>
      <w:rPr>
        <w:noProof/>
        <w:sz w:val="20"/>
      </w:rPr>
      <w:drawing>
        <wp:anchor distT="0" distB="0" distL="0" distR="0" simplePos="0" relativeHeight="486484992" behindDoc="1" locked="0" layoutInCell="1" allowOverlap="1" wp14:anchorId="5392C6A7" wp14:editId="1ED858A2">
          <wp:simplePos x="0" y="0"/>
          <wp:positionH relativeFrom="page">
            <wp:posOffset>6011545</wp:posOffset>
          </wp:positionH>
          <wp:positionV relativeFrom="page">
            <wp:posOffset>9212577</wp:posOffset>
          </wp:positionV>
          <wp:extent cx="730656" cy="727075"/>
          <wp:effectExtent l="0" t="0" r="0" b="0"/>
          <wp:wrapNone/>
          <wp:docPr id="3"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1" cstate="print"/>
                  <a:stretch>
                    <a:fillRect/>
                  </a:stretch>
                </pic:blipFill>
                <pic:spPr>
                  <a:xfrm>
                    <a:off x="0" y="0"/>
                    <a:ext cx="730656" cy="727075"/>
                  </a:xfrm>
                  <a:prstGeom prst="rect">
                    <a:avLst/>
                  </a:prstGeom>
                </pic:spPr>
              </pic:pic>
            </a:graphicData>
          </a:graphic>
        </wp:anchor>
      </w:drawing>
    </w:r>
    <w:r>
      <w:rPr>
        <w:noProof/>
        <w:sz w:val="20"/>
      </w:rPr>
      <w:drawing>
        <wp:anchor distT="0" distB="0" distL="0" distR="0" simplePos="0" relativeHeight="486485504" behindDoc="1" locked="0" layoutInCell="1" allowOverlap="1" wp14:anchorId="4BAAE19B" wp14:editId="759DCDD9">
          <wp:simplePos x="0" y="0"/>
          <wp:positionH relativeFrom="page">
            <wp:posOffset>336550</wp:posOffset>
          </wp:positionH>
          <wp:positionV relativeFrom="page">
            <wp:posOffset>9259569</wp:posOffset>
          </wp:positionV>
          <wp:extent cx="2698750" cy="647700"/>
          <wp:effectExtent l="0" t="0" r="0" b="0"/>
          <wp:wrapNone/>
          <wp:docPr id="4"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2" cstate="print"/>
                  <a:stretch>
                    <a:fillRect/>
                  </a:stretch>
                </pic:blipFill>
                <pic:spPr>
                  <a:xfrm>
                    <a:off x="0" y="0"/>
                    <a:ext cx="2698750" cy="647700"/>
                  </a:xfrm>
                  <a:prstGeom prst="rect">
                    <a:avLst/>
                  </a:prstGeom>
                </pic:spPr>
              </pic:pic>
            </a:graphicData>
          </a:graphic>
        </wp:anchor>
      </w:drawing>
    </w:r>
    <w:r>
      <w:rPr>
        <w:noProof/>
        <w:sz w:val="20"/>
      </w:rPr>
      <mc:AlternateContent>
        <mc:Choice Requires="wps">
          <w:drawing>
            <wp:anchor distT="0" distB="0" distL="0" distR="0" simplePos="0" relativeHeight="486486016" behindDoc="1" locked="0" layoutInCell="1" allowOverlap="1" wp14:anchorId="41EEF62B" wp14:editId="07669EAD">
              <wp:simplePos x="0" y="0"/>
              <wp:positionH relativeFrom="page">
                <wp:posOffset>3467227</wp:posOffset>
              </wp:positionH>
              <wp:positionV relativeFrom="page">
                <wp:posOffset>9285369</wp:posOffset>
              </wp:positionV>
              <wp:extent cx="887094" cy="370840"/>
              <wp:effectExtent l="0" t="0" r="0" b="0"/>
              <wp:wrapNone/>
              <wp:docPr id="5" name="Text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87094" cy="370840"/>
                      </a:xfrm>
                      <a:prstGeom prst="rect">
                        <a:avLst/>
                      </a:prstGeom>
                    </wps:spPr>
                    <wps:txbx>
                      <w:txbxContent>
                        <w:p w14:paraId="68343A3D" w14:textId="77777777" w:rsidR="00EC7684" w:rsidRDefault="00EC7684">
                          <w:pPr>
                            <w:spacing w:before="14" w:line="183" w:lineRule="exact"/>
                            <w:ind w:left="20"/>
                            <w:rPr>
                              <w:sz w:val="16"/>
                            </w:rPr>
                          </w:pPr>
                          <w:r>
                            <w:rPr>
                              <w:w w:val="90"/>
                              <w:sz w:val="16"/>
                            </w:rPr>
                            <w:t>Tel.</w:t>
                          </w:r>
                          <w:r>
                            <w:rPr>
                              <w:spacing w:val="4"/>
                              <w:sz w:val="16"/>
                            </w:rPr>
                            <w:t xml:space="preserve"> </w:t>
                          </w:r>
                          <w:r>
                            <w:rPr>
                              <w:spacing w:val="-2"/>
                              <w:w w:val="95"/>
                              <w:sz w:val="16"/>
                            </w:rPr>
                            <w:t>3387000</w:t>
                          </w:r>
                        </w:p>
                        <w:p w14:paraId="36AB2FB2" w14:textId="77777777" w:rsidR="00EC7684" w:rsidRDefault="00EC7684">
                          <w:pPr>
                            <w:ind w:left="20"/>
                            <w:rPr>
                              <w:sz w:val="16"/>
                            </w:rPr>
                          </w:pPr>
                          <w:r>
                            <w:rPr>
                              <w:spacing w:val="-4"/>
                              <w:sz w:val="16"/>
                            </w:rPr>
                            <w:t>Información</w:t>
                          </w:r>
                          <w:r>
                            <w:rPr>
                              <w:spacing w:val="-6"/>
                              <w:sz w:val="16"/>
                            </w:rPr>
                            <w:t xml:space="preserve"> </w:t>
                          </w:r>
                          <w:r>
                            <w:rPr>
                              <w:spacing w:val="-4"/>
                              <w:sz w:val="16"/>
                            </w:rPr>
                            <w:t>línea</w:t>
                          </w:r>
                          <w:r>
                            <w:rPr>
                              <w:spacing w:val="-6"/>
                              <w:sz w:val="16"/>
                            </w:rPr>
                            <w:t xml:space="preserve"> </w:t>
                          </w:r>
                          <w:r>
                            <w:rPr>
                              <w:spacing w:val="-4"/>
                              <w:sz w:val="16"/>
                            </w:rPr>
                            <w:t>195</w:t>
                          </w:r>
                          <w:r>
                            <w:rPr>
                              <w:spacing w:val="40"/>
                              <w:sz w:val="16"/>
                            </w:rPr>
                            <w:t xml:space="preserve"> </w:t>
                          </w:r>
                          <w:hyperlink r:id="rId3">
                            <w:r>
                              <w:rPr>
                                <w:color w:val="0461C1"/>
                                <w:spacing w:val="-2"/>
                                <w:w w:val="90"/>
                                <w:sz w:val="16"/>
                                <w:u w:val="single" w:color="0461C1"/>
                              </w:rPr>
                              <w:t>www.sumapaz.gov.co</w:t>
                            </w:r>
                          </w:hyperlink>
                        </w:p>
                      </w:txbxContent>
                    </wps:txbx>
                    <wps:bodyPr wrap="square" lIns="0" tIns="0" rIns="0" bIns="0" rtlCol="0">
                      <a:noAutofit/>
                    </wps:bodyPr>
                  </wps:wsp>
                </a:graphicData>
              </a:graphic>
            </wp:anchor>
          </w:drawing>
        </mc:Choice>
        <mc:Fallback>
          <w:pict>
            <v:shapetype w14:anchorId="41EEF62B" id="_x0000_t202" coordsize="21600,21600" o:spt="202" path="m,l,21600r21600,l21600,xe">
              <v:stroke joinstyle="miter"/>
              <v:path gradientshapeok="t" o:connecttype="rect"/>
            </v:shapetype>
            <v:shape id="Textbox 5" o:spid="_x0000_s1027" type="#_x0000_t202" style="position:absolute;margin-left:273pt;margin-top:731.15pt;width:69.85pt;height:29.2pt;z-index:-168304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" filled="f" stroked="f">
              <v:textbox inset="0,0,0,0">
                <w:txbxContent>
                  <w:p w14:paraId="68343A3D" w14:textId="77777777" w:rsidR="00EC7684" w:rsidRDefault="00EC7684">
                    <w:pPr>
                      <w:spacing w:before="14" w:line="183" w:lineRule="exact"/>
                      <w:ind w:left="20"/>
                      <w:rPr>
                        <w:sz w:val="16"/>
                      </w:rPr>
                    </w:pPr>
                    <w:r>
                      <w:rPr>
                        <w:w w:val="90"/>
                        <w:sz w:val="16"/>
                      </w:rPr>
                      <w:t>Tel.</w:t>
                    </w:r>
                    <w:r>
                      <w:rPr>
                        <w:spacing w:val="4"/>
                        <w:sz w:val="16"/>
                      </w:rPr>
                      <w:t xml:space="preserve"> </w:t>
                    </w:r>
                    <w:r>
                      <w:rPr>
                        <w:spacing w:val="-2"/>
                        <w:w w:val="95"/>
                        <w:sz w:val="16"/>
                      </w:rPr>
                      <w:t>3387000</w:t>
                    </w:r>
                  </w:p>
                  <w:p w14:paraId="36AB2FB2" w14:textId="77777777" w:rsidR="00EC7684" w:rsidRDefault="00EC7684">
                    <w:pPr>
                      <w:ind w:left="20"/>
                      <w:rPr>
                        <w:sz w:val="16"/>
                      </w:rPr>
                    </w:pPr>
                    <w:r>
                      <w:rPr>
                        <w:spacing w:val="-4"/>
                        <w:sz w:val="16"/>
                      </w:rPr>
                      <w:t>Información</w:t>
                    </w:r>
                    <w:r>
                      <w:rPr>
                        <w:spacing w:val="-6"/>
                        <w:sz w:val="16"/>
                      </w:rPr>
                      <w:t xml:space="preserve"> </w:t>
                    </w:r>
                    <w:r>
                      <w:rPr>
                        <w:spacing w:val="-4"/>
                        <w:sz w:val="16"/>
                      </w:rPr>
                      <w:t>línea</w:t>
                    </w:r>
                    <w:r>
                      <w:rPr>
                        <w:spacing w:val="-6"/>
                        <w:sz w:val="16"/>
                      </w:rPr>
                      <w:t xml:space="preserve"> </w:t>
                    </w:r>
                    <w:r>
                      <w:rPr>
                        <w:spacing w:val="-4"/>
                        <w:sz w:val="16"/>
                      </w:rPr>
                      <w:t>195</w:t>
                    </w:r>
                    <w:r>
                      <w:rPr>
                        <w:spacing w:val="40"/>
                        <w:sz w:val="16"/>
                      </w:rPr>
                      <w:t xml:space="preserve"> </w:t>
                    </w:r>
                    <w:hyperlink r:id="rId4">
                      <w:r>
                        <w:rPr>
                          <w:color w:val="0461C1"/>
                          <w:spacing w:val="-2"/>
                          <w:w w:val="90"/>
                          <w:sz w:val="16"/>
                          <w:u w:val="single" w:color="0461C1"/>
                        </w:rPr>
                        <w:t>www.sumapaz.gov.co</w:t>
                      </w:r>
                    </w:hyperlink>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E18F92" w14:textId="405DA134" w:rsidR="00EC7684" w:rsidRDefault="00EC7684">
    <w:pPr>
      <w:pStyle w:val="Textoindependiente"/>
      <w:spacing w:line="14" w:lineRule="auto"/>
      <w:rPr>
        <w:sz w:val="20"/>
      </w:rPr>
    </w:pPr>
    <w:r>
      <w:rPr>
        <w:noProof/>
        <w:sz w:val="20"/>
      </w:rPr>
      <w:drawing>
        <wp:anchor distT="0" distB="0" distL="0" distR="0" simplePos="0" relativeHeight="486498816" behindDoc="1" locked="0" layoutInCell="1" allowOverlap="1" wp14:anchorId="7FA0D65A" wp14:editId="62FE1870">
          <wp:simplePos x="0" y="0"/>
          <wp:positionH relativeFrom="page">
            <wp:posOffset>6011545</wp:posOffset>
          </wp:positionH>
          <wp:positionV relativeFrom="page">
            <wp:posOffset>9212577</wp:posOffset>
          </wp:positionV>
          <wp:extent cx="730656" cy="727075"/>
          <wp:effectExtent l="0" t="0" r="0" b="0"/>
          <wp:wrapNone/>
          <wp:docPr id="1781889053" name="Image 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2" name="Image 72"/>
                  <pic:cNvPicPr/>
                </pic:nvPicPr>
                <pic:blipFill>
                  <a:blip r:embed="rId1" cstate="print"/>
                  <a:stretch>
                    <a:fillRect/>
                  </a:stretch>
                </pic:blipFill>
                <pic:spPr>
                  <a:xfrm>
                    <a:off x="0" y="0"/>
                    <a:ext cx="730656" cy="727075"/>
                  </a:xfrm>
                  <a:prstGeom prst="rect">
                    <a:avLst/>
                  </a:prstGeom>
                </pic:spPr>
              </pic:pic>
            </a:graphicData>
          </a:graphic>
        </wp:anchor>
      </w:drawing>
    </w:r>
    <w:r>
      <w:rPr>
        <w:noProof/>
        <w:sz w:val="20"/>
      </w:rPr>
      <w:drawing>
        <wp:anchor distT="0" distB="0" distL="0" distR="0" simplePos="0" relativeHeight="486499328" behindDoc="1" locked="0" layoutInCell="1" allowOverlap="1" wp14:anchorId="00459241" wp14:editId="08086DAE">
          <wp:simplePos x="0" y="0"/>
          <wp:positionH relativeFrom="page">
            <wp:posOffset>336550</wp:posOffset>
          </wp:positionH>
          <wp:positionV relativeFrom="page">
            <wp:posOffset>9259569</wp:posOffset>
          </wp:positionV>
          <wp:extent cx="2698750" cy="647700"/>
          <wp:effectExtent l="0" t="0" r="0" b="0"/>
          <wp:wrapNone/>
          <wp:docPr id="1459984037" name="Image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3" name="Image 73"/>
                  <pic:cNvPicPr/>
                </pic:nvPicPr>
                <pic:blipFill>
                  <a:blip r:embed="rId2" cstate="print"/>
                  <a:stretch>
                    <a:fillRect/>
                  </a:stretch>
                </pic:blipFill>
                <pic:spPr>
                  <a:xfrm>
                    <a:off x="0" y="0"/>
                    <a:ext cx="2698750" cy="647700"/>
                  </a:xfrm>
                  <a:prstGeom prst="rect">
                    <a:avLst/>
                  </a:prstGeom>
                </pic:spPr>
              </pic:pic>
            </a:graphicData>
          </a:graphic>
        </wp:anchor>
      </w:drawing>
    </w:r>
    <w:r>
      <w:rPr>
        <w:noProof/>
        <w:sz w:val="20"/>
      </w:rPr>
      <mc:AlternateContent>
        <mc:Choice Requires="wps">
          <w:drawing>
            <wp:anchor distT="0" distB="0" distL="0" distR="0" simplePos="0" relativeHeight="486499840" behindDoc="1" locked="0" layoutInCell="1" allowOverlap="1" wp14:anchorId="46646A2E" wp14:editId="154A30E2">
              <wp:simplePos x="0" y="0"/>
              <wp:positionH relativeFrom="page">
                <wp:posOffset>3467227</wp:posOffset>
              </wp:positionH>
              <wp:positionV relativeFrom="page">
                <wp:posOffset>9285369</wp:posOffset>
              </wp:positionV>
              <wp:extent cx="887094" cy="370840"/>
              <wp:effectExtent l="0" t="0" r="0" b="0"/>
              <wp:wrapNone/>
              <wp:docPr id="74" name="Text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87094" cy="370840"/>
                      </a:xfrm>
                      <a:prstGeom prst="rect">
                        <a:avLst/>
                      </a:prstGeom>
                    </wps:spPr>
                    <wps:txbx>
                      <w:txbxContent>
                        <w:p w14:paraId="26B3F979" w14:textId="77777777" w:rsidR="00EC7684" w:rsidRDefault="00EC7684">
                          <w:pPr>
                            <w:spacing w:before="14" w:line="183" w:lineRule="exact"/>
                            <w:ind w:left="20"/>
                            <w:rPr>
                              <w:sz w:val="16"/>
                            </w:rPr>
                          </w:pPr>
                          <w:r>
                            <w:rPr>
                              <w:w w:val="90"/>
                              <w:sz w:val="16"/>
                            </w:rPr>
                            <w:t>Tel.</w:t>
                          </w:r>
                          <w:r>
                            <w:rPr>
                              <w:spacing w:val="4"/>
                              <w:sz w:val="16"/>
                            </w:rPr>
                            <w:t xml:space="preserve"> </w:t>
                          </w:r>
                          <w:r>
                            <w:rPr>
                              <w:spacing w:val="-2"/>
                              <w:w w:val="95"/>
                              <w:sz w:val="16"/>
                            </w:rPr>
                            <w:t>3387000</w:t>
                          </w:r>
                        </w:p>
                        <w:p w14:paraId="61765B24" w14:textId="77777777" w:rsidR="00EC7684" w:rsidRDefault="00EC7684">
                          <w:pPr>
                            <w:ind w:left="20"/>
                            <w:rPr>
                              <w:sz w:val="16"/>
                            </w:rPr>
                          </w:pPr>
                          <w:r>
                            <w:rPr>
                              <w:spacing w:val="-4"/>
                              <w:sz w:val="16"/>
                            </w:rPr>
                            <w:t>Información</w:t>
                          </w:r>
                          <w:r>
                            <w:rPr>
                              <w:spacing w:val="-6"/>
                              <w:sz w:val="16"/>
                            </w:rPr>
                            <w:t xml:space="preserve"> </w:t>
                          </w:r>
                          <w:r>
                            <w:rPr>
                              <w:spacing w:val="-4"/>
                              <w:sz w:val="16"/>
                            </w:rPr>
                            <w:t>línea</w:t>
                          </w:r>
                          <w:r>
                            <w:rPr>
                              <w:spacing w:val="-6"/>
                              <w:sz w:val="16"/>
                            </w:rPr>
                            <w:t xml:space="preserve"> </w:t>
                          </w:r>
                          <w:r>
                            <w:rPr>
                              <w:spacing w:val="-4"/>
                              <w:sz w:val="16"/>
                            </w:rPr>
                            <w:t>195</w:t>
                          </w:r>
                          <w:r>
                            <w:rPr>
                              <w:spacing w:val="40"/>
                              <w:sz w:val="16"/>
                            </w:rPr>
                            <w:t xml:space="preserve"> </w:t>
                          </w:r>
                          <w:hyperlink r:id="rId3">
                            <w:r>
                              <w:rPr>
                                <w:color w:val="0461C1"/>
                                <w:spacing w:val="-2"/>
                                <w:w w:val="90"/>
                                <w:sz w:val="16"/>
                                <w:u w:val="single" w:color="0461C1"/>
                              </w:rPr>
                              <w:t>www.sumapaz.gov.co</w:t>
                            </w:r>
                          </w:hyperlink>
                        </w:p>
                      </w:txbxContent>
                    </wps:txbx>
                    <wps:bodyPr wrap="square" lIns="0" tIns="0" rIns="0" bIns="0" rtlCol="0">
                      <a:noAutofit/>
                    </wps:bodyPr>
                  </wps:wsp>
                </a:graphicData>
              </a:graphic>
            </wp:anchor>
          </w:drawing>
        </mc:Choice>
        <mc:Fallback>
          <w:pict>
            <v:shapetype w14:anchorId="46646A2E" id="_x0000_t202" coordsize="21600,21600" o:spt="202" path="m,l,21600r21600,l21600,xe">
              <v:stroke joinstyle="miter"/>
              <v:path gradientshapeok="t" o:connecttype="rect"/>
            </v:shapetype>
            <v:shape id="Textbox 74" o:spid="_x0000_s1029" type="#_x0000_t202" style="position:absolute;margin-left:273pt;margin-top:731.15pt;width:69.85pt;height:29.2pt;z-index:-168166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" filled="f" stroked="f">
              <v:textbox inset="0,0,0,0">
                <w:txbxContent>
                  <w:p w14:paraId="26B3F979" w14:textId="77777777" w:rsidR="00EC7684" w:rsidRDefault="00EC7684">
                    <w:pPr>
                      <w:spacing w:before="14" w:line="183" w:lineRule="exact"/>
                      <w:ind w:left="20"/>
                      <w:rPr>
                        <w:sz w:val="16"/>
                      </w:rPr>
                    </w:pPr>
                    <w:r>
                      <w:rPr>
                        <w:w w:val="90"/>
                        <w:sz w:val="16"/>
                      </w:rPr>
                      <w:t>Tel.</w:t>
                    </w:r>
                    <w:r>
                      <w:rPr>
                        <w:spacing w:val="4"/>
                        <w:sz w:val="16"/>
                      </w:rPr>
                      <w:t xml:space="preserve"> </w:t>
                    </w:r>
                    <w:r>
                      <w:rPr>
                        <w:spacing w:val="-2"/>
                        <w:w w:val="95"/>
                        <w:sz w:val="16"/>
                      </w:rPr>
                      <w:t>3387000</w:t>
                    </w:r>
                  </w:p>
                  <w:p w14:paraId="61765B24" w14:textId="77777777" w:rsidR="00EC7684" w:rsidRDefault="00EC7684">
                    <w:pPr>
                      <w:ind w:left="20"/>
                      <w:rPr>
                        <w:sz w:val="16"/>
                      </w:rPr>
                    </w:pPr>
                    <w:r>
                      <w:rPr>
                        <w:spacing w:val="-4"/>
                        <w:sz w:val="16"/>
                      </w:rPr>
                      <w:t>Información</w:t>
                    </w:r>
                    <w:r>
                      <w:rPr>
                        <w:spacing w:val="-6"/>
                        <w:sz w:val="16"/>
                      </w:rPr>
                      <w:t xml:space="preserve"> </w:t>
                    </w:r>
                    <w:r>
                      <w:rPr>
                        <w:spacing w:val="-4"/>
                        <w:sz w:val="16"/>
                      </w:rPr>
                      <w:t>línea</w:t>
                    </w:r>
                    <w:r>
                      <w:rPr>
                        <w:spacing w:val="-6"/>
                        <w:sz w:val="16"/>
                      </w:rPr>
                      <w:t xml:space="preserve"> </w:t>
                    </w:r>
                    <w:r>
                      <w:rPr>
                        <w:spacing w:val="-4"/>
                        <w:sz w:val="16"/>
                      </w:rPr>
                      <w:t>195</w:t>
                    </w:r>
                    <w:r>
                      <w:rPr>
                        <w:spacing w:val="40"/>
                        <w:sz w:val="16"/>
                      </w:rPr>
                      <w:t xml:space="preserve"> </w:t>
                    </w:r>
                    <w:hyperlink r:id="rId4">
                      <w:r>
                        <w:rPr>
                          <w:color w:val="0461C1"/>
                          <w:spacing w:val="-2"/>
                          <w:w w:val="90"/>
                          <w:sz w:val="16"/>
                          <w:u w:val="single" w:color="0461C1"/>
                        </w:rPr>
                        <w:t>www.sumapaz.gov.co</w:t>
                      </w:r>
                    </w:hyperlink>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7D0704" w14:textId="77777777" w:rsidR="00D43F3D" w:rsidRDefault="00D43F3D">
      <w:r>
        <w:separator/>
      </w:r>
    </w:p>
  </w:footnote>
  <w:footnote w:type="continuationSeparator" w:id="0">
    <w:p w14:paraId="047F6AA6" w14:textId="77777777" w:rsidR="00D43F3D" w:rsidRDefault="00D43F3D">
      <w:r>
        <w:continuationSeparator/>
      </w:r>
    </w:p>
  </w:footnote>
  <w:footnote w:id="1">
    <w:p w14:paraId="01DB45A0" w14:textId="77777777" w:rsidR="00EC7684" w:rsidRPr="00BD3B94" w:rsidRDefault="00EC7684" w:rsidP="00C0220B">
      <w:pPr>
        <w:pStyle w:val="Textonotapie"/>
        <w:rPr>
          <w:rFonts w:ascii="Arial Narrow" w:hAnsi="Arial Narrow"/>
          <w:sz w:val="16"/>
          <w:szCs w:val="16"/>
        </w:rPr>
      </w:pPr>
      <w:r w:rsidRPr="00BD3B94">
        <w:rPr>
          <w:rStyle w:val="Refdenotaalpie"/>
          <w:rFonts w:ascii="Arial Narrow" w:eastAsia="Arial" w:hAnsi="Arial Narrow"/>
          <w:sz w:val="16"/>
          <w:szCs w:val="16"/>
        </w:rPr>
        <w:footnoteRef/>
      </w:r>
      <w:r w:rsidRPr="00BD3B94">
        <w:rPr>
          <w:rFonts w:ascii="Arial Narrow" w:hAnsi="Arial Narrow"/>
          <w:sz w:val="16"/>
          <w:szCs w:val="16"/>
        </w:rPr>
        <w:t xml:space="preserve"> </w:t>
      </w:r>
      <w:hyperlink r:id="rId1" w:history="1">
        <w:r w:rsidRPr="008649CF">
          <w:rPr>
            <w:rStyle w:val="Hipervnculo"/>
            <w:rFonts w:ascii="Arial Narrow" w:eastAsia="Arial" w:hAnsi="Arial Narrow"/>
            <w:sz w:val="16"/>
            <w:szCs w:val="16"/>
          </w:rPr>
          <w:t>https://enciclopedia.banrepcultural.org/index.php/Sectores_economicos</w:t>
        </w:r>
      </w:hyperlink>
    </w:p>
  </w:footnote>
  <w:footnote w:id="2">
    <w:p w14:paraId="540AC9D7" w14:textId="77777777" w:rsidR="00EC7684" w:rsidRPr="00A86F43" w:rsidRDefault="00EC7684" w:rsidP="00C0220B">
      <w:pPr>
        <w:pBdr>
          <w:top w:val="nil"/>
          <w:left w:val="nil"/>
          <w:bottom w:val="nil"/>
          <w:right w:val="nil"/>
          <w:between w:val="nil"/>
        </w:pBdr>
        <w:rPr>
          <w:rFonts w:ascii="Arial Narrow" w:hAnsi="Arial Narrow"/>
          <w:sz w:val="12"/>
          <w:szCs w:val="12"/>
        </w:rPr>
      </w:pPr>
      <w:r w:rsidRPr="00A86F43">
        <w:rPr>
          <w:rFonts w:ascii="Arial Narrow" w:hAnsi="Arial Narrow"/>
          <w:sz w:val="12"/>
          <w:szCs w:val="12"/>
          <w:vertAlign w:val="superscript"/>
        </w:rPr>
        <w:footnoteRef/>
      </w:r>
      <w:r w:rsidRPr="00A86F43">
        <w:rPr>
          <w:rFonts w:ascii="Arial Narrow" w:hAnsi="Arial Narrow"/>
          <w:sz w:val="12"/>
          <w:szCs w:val="12"/>
        </w:rPr>
        <w:t xml:space="preserve"> </w:t>
      </w:r>
      <w:hyperlink r:id="rId2">
        <w:r w:rsidRPr="00A86F43">
          <w:rPr>
            <w:rFonts w:ascii="Arial Narrow" w:hAnsi="Arial Narrow"/>
            <w:color w:val="0000FF"/>
            <w:sz w:val="12"/>
            <w:szCs w:val="12"/>
            <w:u w:val="single"/>
          </w:rPr>
          <w:t>https://linea.ccb.org.co/descripcionciiu/</w:t>
        </w:r>
      </w:hyperlink>
      <w:r w:rsidRPr="00A86F43">
        <w:rPr>
          <w:rFonts w:ascii="Arial Narrow" w:hAnsi="Arial Narrow"/>
          <w:sz w:val="12"/>
          <w:szCs w:val="12"/>
        </w:rPr>
        <w:t xml:space="preserve"> </w:t>
      </w:r>
    </w:p>
  </w:footnote>
  <w:footnote w:id="3">
    <w:p w14:paraId="3CEE1839" w14:textId="77777777" w:rsidR="00EC7684" w:rsidRPr="007772D9" w:rsidRDefault="00EC7684" w:rsidP="00C0220B">
      <w:pPr>
        <w:rPr>
          <w:rFonts w:ascii="Arial Narrow" w:hAnsi="Arial Narrow"/>
          <w:sz w:val="16"/>
          <w:szCs w:val="16"/>
        </w:rPr>
      </w:pPr>
      <w:r w:rsidRPr="003F794D">
        <w:rPr>
          <w:rFonts w:ascii="Arial Narrow" w:hAnsi="Arial Narrow"/>
          <w:sz w:val="16"/>
          <w:szCs w:val="16"/>
          <w:vertAlign w:val="superscript"/>
        </w:rPr>
        <w:footnoteRef/>
      </w:r>
      <w:r w:rsidRPr="007772D9">
        <w:rPr>
          <w:rFonts w:ascii="Arial Narrow" w:hAnsi="Arial Narrow"/>
          <w:sz w:val="16"/>
          <w:szCs w:val="16"/>
        </w:rPr>
        <w:t xml:space="preserve"> </w:t>
      </w:r>
      <w:hyperlink r:id="rId3" w:history="1">
        <w:r w:rsidRPr="00E941B8">
          <w:rPr>
            <w:rStyle w:val="Hipervnculo"/>
            <w:rFonts w:ascii="Arial Narrow" w:hAnsi="Arial Narrow"/>
            <w:sz w:val="16"/>
            <w:szCs w:val="16"/>
          </w:rPr>
          <w:t>https://www.dane.gov.co/index.php/estadisticas-por-tema/cuentas-nacionales/cuentas-nacionales-trimestrales/pib-informacion-tecnica</w:t>
        </w:r>
      </w:hyperlink>
    </w:p>
  </w:footnote>
  <w:footnote w:id="4">
    <w:p w14:paraId="15240865" w14:textId="77777777" w:rsidR="00EC7684" w:rsidRPr="005C6D6A" w:rsidRDefault="00EC7684" w:rsidP="00C0220B">
      <w:pPr>
        <w:pStyle w:val="Textonotapie"/>
        <w:rPr>
          <w:rFonts w:ascii="Times New Roman" w:hAnsi="Times New Roman"/>
          <w:b/>
          <w:sz w:val="16"/>
          <w:szCs w:val="16"/>
          <w:lang w:val="es-ES"/>
        </w:rPr>
      </w:pPr>
      <w:r>
        <w:rPr>
          <w:rStyle w:val="Refdenotaalpie"/>
          <w:sz w:val="16"/>
          <w:szCs w:val="16"/>
        </w:rPr>
        <w:footnoteRef/>
      </w:r>
      <w:r w:rsidRPr="002007C3">
        <w:rPr>
          <w:sz w:val="16"/>
          <w:szCs w:val="16"/>
          <w:lang w:val="es-ES"/>
        </w:rPr>
        <w:t xml:space="preserve"> </w:t>
      </w:r>
      <w:bookmarkStart w:id="9" w:name="_Hlk160029340"/>
      <w:r w:rsidRPr="00C9281F">
        <w:rPr>
          <w:rFonts w:ascii="Arial Narrow" w:hAnsi="Arial Narrow"/>
          <w:sz w:val="16"/>
          <w:szCs w:val="16"/>
          <w:lang w:val="es-ES"/>
        </w:rPr>
        <w:fldChar w:fldCharType="begin"/>
      </w:r>
      <w:r w:rsidRPr="00C9281F">
        <w:rPr>
          <w:rFonts w:ascii="Arial Narrow" w:hAnsi="Arial Narrow"/>
          <w:sz w:val="16"/>
          <w:szCs w:val="16"/>
          <w:lang w:val="es-ES"/>
        </w:rPr>
        <w:instrText>HYPERLINK "https://www.dane.gov.co/index.php/estadisticas-por-tema/precios-y-costos/indice-de-precios-al-consumidor-ipc/ipc-informacion-tecnica"</w:instrText>
      </w:r>
      <w:r w:rsidRPr="00C9281F">
        <w:rPr>
          <w:rFonts w:ascii="Arial Narrow" w:hAnsi="Arial Narrow"/>
          <w:sz w:val="16"/>
          <w:szCs w:val="16"/>
          <w:lang w:val="es-ES"/>
        </w:rPr>
      </w:r>
      <w:r w:rsidRPr="00C9281F">
        <w:rPr>
          <w:rFonts w:ascii="Arial Narrow" w:hAnsi="Arial Narrow"/>
          <w:sz w:val="16"/>
          <w:szCs w:val="16"/>
          <w:lang w:val="es-ES"/>
        </w:rPr>
        <w:fldChar w:fldCharType="separate"/>
      </w:r>
      <w:r w:rsidRPr="00C9281F">
        <w:rPr>
          <w:rStyle w:val="Hipervnculo"/>
          <w:rFonts w:ascii="Arial Narrow" w:hAnsi="Arial Narrow"/>
          <w:sz w:val="16"/>
          <w:szCs w:val="16"/>
          <w:lang w:val="es-ES"/>
        </w:rPr>
        <w:t>https://www.dane.gov.co/index.php/estadisticas-por-tema/precios-y-costos/indice-de-precios-al-consumidor-ipc/ipc-informacion-tecnica</w:t>
      </w:r>
      <w:r w:rsidRPr="00C9281F">
        <w:rPr>
          <w:rFonts w:ascii="Arial Narrow" w:hAnsi="Arial Narrow"/>
          <w:sz w:val="16"/>
          <w:szCs w:val="16"/>
          <w:lang w:val="es-ES"/>
        </w:rPr>
        <w:fldChar w:fldCharType="end"/>
      </w:r>
      <w:r w:rsidRPr="00C9281F">
        <w:rPr>
          <w:sz w:val="16"/>
          <w:szCs w:val="16"/>
          <w:lang w:val="es-ES"/>
        </w:rPr>
        <w:t xml:space="preserve"> </w:t>
      </w:r>
      <w:bookmarkEnd w:id="9"/>
    </w:p>
  </w:footnote>
  <w:footnote w:id="5">
    <w:p w14:paraId="2262BB52" w14:textId="77777777" w:rsidR="00EC7684" w:rsidRPr="006D11AE" w:rsidRDefault="00EC7684" w:rsidP="00C0220B">
      <w:pPr>
        <w:rPr>
          <w:sz w:val="14"/>
          <w:szCs w:val="14"/>
        </w:rPr>
      </w:pPr>
      <w:r w:rsidRPr="006D11AE">
        <w:rPr>
          <w:sz w:val="14"/>
          <w:szCs w:val="14"/>
        </w:rPr>
        <w:footnoteRef/>
      </w:r>
      <w:r w:rsidRPr="006D11AE">
        <w:rPr>
          <w:sz w:val="14"/>
          <w:szCs w:val="14"/>
        </w:rPr>
        <w:t xml:space="preserve"> </w:t>
      </w:r>
      <w:hyperlink r:id="rId4" w:history="1">
        <w:r w:rsidRPr="006D11AE">
          <w:rPr>
            <w:rStyle w:val="Hipervnculo"/>
            <w:sz w:val="14"/>
            <w:szCs w:val="14"/>
          </w:rPr>
          <w:t>https://www.dane.gov.co/files/investigaciones/boletines/ech/ech/bol_empleo_dic_22.pdf</w:t>
        </w:r>
      </w:hyperlink>
      <w:r w:rsidRPr="006D11AE">
        <w:rPr>
          <w:sz w:val="14"/>
          <w:szCs w:val="14"/>
        </w:rPr>
        <w:t xml:space="preserve"> </w:t>
      </w:r>
    </w:p>
  </w:footnote>
  <w:footnote w:id="6">
    <w:p w14:paraId="0DC74FB1" w14:textId="77777777" w:rsidR="00EC7684" w:rsidRPr="00EC16E8" w:rsidRDefault="00EC7684" w:rsidP="002E20E3">
      <w:pPr>
        <w:pStyle w:val="Textonotapie"/>
        <w:rPr>
          <w:rFonts w:ascii="Garamond" w:hAnsi="Garamond"/>
          <w:sz w:val="18"/>
          <w:szCs w:val="18"/>
          <w:lang w:val="es-ES"/>
        </w:rPr>
      </w:pPr>
      <w:r>
        <w:rPr>
          <w:rStyle w:val="Refdenotaalpie"/>
        </w:rPr>
        <w:footnoteRef/>
      </w:r>
      <w:r>
        <w:t xml:space="preserve"> </w:t>
      </w:r>
      <w:r w:rsidRPr="00EC16E8">
        <w:rPr>
          <w:rFonts w:ascii="Garamond" w:hAnsi="Garamond"/>
          <w:sz w:val="18"/>
          <w:szCs w:val="18"/>
          <w:lang w:val="es-ES"/>
        </w:rPr>
        <w:t>Federación de Aseguradores Colombianos (</w:t>
      </w:r>
      <w:r w:rsidRPr="00EC16E8">
        <w:rPr>
          <w:rFonts w:ascii="Garamond" w:hAnsi="Garamond"/>
          <w:sz w:val="18"/>
          <w:szCs w:val="18"/>
          <w:lang w:val="es-ES"/>
        </w:rPr>
        <w:t xml:space="preserve">Fasecolda). (2023). </w:t>
      </w:r>
      <w:r w:rsidRPr="00EC16E8">
        <w:rPr>
          <w:rFonts w:ascii="Garamond" w:hAnsi="Garamond"/>
          <w:i/>
          <w:iCs/>
          <w:sz w:val="18"/>
          <w:szCs w:val="18"/>
          <w:lang w:val="es-ES"/>
        </w:rPr>
        <w:t>Informe del sector asegurador colombiano</w:t>
      </w:r>
      <w:r w:rsidRPr="00EC16E8">
        <w:rPr>
          <w:rFonts w:ascii="Garamond" w:hAnsi="Garamond"/>
          <w:sz w:val="18"/>
          <w:szCs w:val="18"/>
          <w:lang w:val="es-ES"/>
        </w:rPr>
        <w:t>. Bogotá: Fasecolda.</w:t>
      </w:r>
    </w:p>
    <w:p w14:paraId="3248E19D" w14:textId="77777777" w:rsidR="00EC7684" w:rsidRPr="00EC16E8" w:rsidRDefault="00EC7684" w:rsidP="002E20E3">
      <w:pPr>
        <w:pStyle w:val="Textonotapie"/>
        <w:rPr>
          <w:rFonts w:ascii="Garamond" w:hAnsi="Garamond"/>
          <w:sz w:val="18"/>
          <w:szCs w:val="18"/>
          <w:lang w:val="es-ES"/>
        </w:rPr>
      </w:pPr>
      <w:r w:rsidRPr="00EC16E8">
        <w:rPr>
          <w:rFonts w:ascii="Garamond" w:hAnsi="Garamond"/>
          <w:sz w:val="18"/>
          <w:szCs w:val="18"/>
          <w:lang w:val="es-ES"/>
        </w:rPr>
        <w:t xml:space="preserve">Departamento Administrativo Nacional de Estadística (DANE). (2022). </w:t>
      </w:r>
      <w:r w:rsidRPr="00EC16E8">
        <w:rPr>
          <w:rFonts w:ascii="Garamond" w:hAnsi="Garamond"/>
          <w:i/>
          <w:iCs/>
          <w:sz w:val="18"/>
          <w:szCs w:val="18"/>
          <w:lang w:val="es-ES"/>
        </w:rPr>
        <w:t>Estadísticas territoriales de Bogotá D.C.</w:t>
      </w:r>
      <w:r w:rsidRPr="00EC16E8">
        <w:rPr>
          <w:rFonts w:ascii="Garamond" w:hAnsi="Garamond"/>
          <w:sz w:val="18"/>
          <w:szCs w:val="18"/>
          <w:lang w:val="es-ES"/>
        </w:rPr>
        <w:t xml:space="preserve"> Recuperado de </w:t>
      </w:r>
      <w:hyperlink r:id="rId5" w:tgtFrame="_new" w:history="1">
        <w:r w:rsidRPr="00EC16E8">
          <w:rPr>
            <w:rStyle w:val="Hipervnculo"/>
            <w:rFonts w:ascii="Garamond" w:hAnsi="Garamond"/>
            <w:sz w:val="18"/>
            <w:szCs w:val="18"/>
            <w:lang w:val="es-ES"/>
          </w:rPr>
          <w:t>https://www.dane.gov.co</w:t>
        </w:r>
      </w:hyperlink>
    </w:p>
    <w:p w14:paraId="3104133C" w14:textId="77777777" w:rsidR="00EC7684" w:rsidRPr="00EC16E8" w:rsidRDefault="00EC7684" w:rsidP="002E20E3">
      <w:pPr>
        <w:pStyle w:val="Textonotapie"/>
        <w:rPr>
          <w:lang w:val="es-ES"/>
        </w:rPr>
      </w:pPr>
      <w:r w:rsidRPr="00EC16E8">
        <w:rPr>
          <w:rFonts w:ascii="Garamond" w:hAnsi="Garamond"/>
          <w:sz w:val="18"/>
          <w:szCs w:val="18"/>
          <w:lang w:val="es-ES"/>
        </w:rPr>
        <w:t xml:space="preserve">Congreso de la República de Colombia. (1990). </w:t>
      </w:r>
      <w:r w:rsidRPr="00EC16E8">
        <w:rPr>
          <w:rFonts w:ascii="Garamond" w:hAnsi="Garamond"/>
          <w:i/>
          <w:iCs/>
          <w:sz w:val="18"/>
          <w:szCs w:val="18"/>
          <w:lang w:val="es-ES"/>
        </w:rPr>
        <w:t>Ley 45 de 1990: Por la cual se expiden normas en materia financiera, de seguros y del mercado de valores</w:t>
      </w:r>
      <w:r w:rsidRPr="00EC16E8">
        <w:rPr>
          <w:rFonts w:ascii="Garamond" w:hAnsi="Garamond"/>
          <w:sz w:val="18"/>
          <w:szCs w:val="18"/>
          <w:lang w:val="es-ES"/>
        </w:rPr>
        <w:t>. Diario Oficial No. 39.607.</w:t>
      </w:r>
    </w:p>
  </w:footnote>
  <w:footnote w:id="7">
    <w:p w14:paraId="3252AA4E" w14:textId="77777777" w:rsidR="00EC7684" w:rsidRDefault="00EC7684" w:rsidP="00A502A1">
      <w:pPr>
        <w:pStyle w:val="Textonotapie"/>
        <w:rPr>
          <w:sz w:val="16"/>
          <w:szCs w:val="16"/>
        </w:rPr>
      </w:pPr>
      <w:r>
        <w:rPr>
          <w:rStyle w:val="Refdenotaalpie"/>
          <w:sz w:val="16"/>
          <w:szCs w:val="16"/>
        </w:rPr>
        <w:footnoteRef/>
      </w:r>
      <w:r>
        <w:rPr>
          <w:sz w:val="16"/>
          <w:szCs w:val="16"/>
        </w:rPr>
        <w:t xml:space="preserve"> https://publicaciones.fasecolda.com/regimen-de-seguros/chapter/p3-c1/</w:t>
      </w:r>
    </w:p>
  </w:footnote>
  <w:footnote w:id="8">
    <w:p w14:paraId="63E0AFB2" w14:textId="77777777" w:rsidR="00EC7684" w:rsidRPr="000D24D9" w:rsidRDefault="00EC7684" w:rsidP="00360D68">
      <w:pPr>
        <w:pStyle w:val="Textonotapie"/>
        <w:rPr>
          <w:rFonts w:ascii="Garamond" w:hAnsi="Garamond"/>
          <w:sz w:val="18"/>
          <w:szCs w:val="18"/>
        </w:rPr>
      </w:pPr>
      <w:r>
        <w:rPr>
          <w:rStyle w:val="Refdenotaalpie"/>
        </w:rPr>
        <w:footnoteRef/>
      </w:r>
      <w:r>
        <w:t xml:space="preserve"> </w:t>
      </w:r>
      <w:r w:rsidRPr="000D24D9">
        <w:rPr>
          <w:rFonts w:ascii="Garamond" w:hAnsi="Garamond"/>
          <w:sz w:val="18"/>
          <w:szCs w:val="18"/>
          <w:lang w:val="es-ES"/>
        </w:rPr>
        <w:t xml:space="preserve">Alcaldía Mayor de Bogotá. (2026). </w:t>
      </w:r>
      <w:r w:rsidRPr="000D24D9">
        <w:rPr>
          <w:rFonts w:ascii="Garamond" w:hAnsi="Garamond"/>
          <w:i/>
          <w:iCs/>
          <w:sz w:val="18"/>
          <w:szCs w:val="18"/>
          <w:lang w:val="es-ES"/>
        </w:rPr>
        <w:t>Localidad de Sumapaz</w:t>
      </w:r>
      <w:r w:rsidRPr="000D24D9">
        <w:rPr>
          <w:rFonts w:ascii="Garamond" w:hAnsi="Garamond"/>
          <w:sz w:val="18"/>
          <w:szCs w:val="18"/>
          <w:lang w:val="es-ES"/>
        </w:rPr>
        <w:t xml:space="preserve">. Recuperado de </w:t>
      </w:r>
      <w:hyperlink r:id="rId6" w:tgtFrame="_new" w:history="1">
        <w:r w:rsidRPr="000D24D9">
          <w:rPr>
            <w:rStyle w:val="Hipervnculo"/>
            <w:rFonts w:ascii="Garamond" w:hAnsi="Garamond"/>
            <w:sz w:val="18"/>
            <w:szCs w:val="18"/>
            <w:lang w:val="es-ES"/>
          </w:rPr>
          <w:t>https://bogota.gov.co/mi-ciudad/localidades/sumapaz</w:t>
        </w:r>
      </w:hyperlink>
    </w:p>
    <w:p w14:paraId="3DC13BF8" w14:textId="77777777" w:rsidR="00EC7684" w:rsidRPr="000D24D9" w:rsidRDefault="00EC7684" w:rsidP="00360D68">
      <w:pPr>
        <w:pStyle w:val="Textonotapie"/>
        <w:rPr>
          <w:rFonts w:ascii="Garamond" w:hAnsi="Garamond"/>
          <w:sz w:val="18"/>
          <w:szCs w:val="18"/>
          <w:lang w:val="es-ES"/>
        </w:rPr>
      </w:pPr>
      <w:r w:rsidRPr="000D24D9">
        <w:rPr>
          <w:rFonts w:ascii="Garamond" w:hAnsi="Garamond"/>
          <w:sz w:val="18"/>
          <w:szCs w:val="18"/>
          <w:lang w:val="es-ES"/>
        </w:rPr>
        <w:t xml:space="preserve">Observatorio Ambiental de Bogotá. (2015). </w:t>
      </w:r>
      <w:r w:rsidRPr="000D24D9">
        <w:rPr>
          <w:rFonts w:ascii="Garamond" w:hAnsi="Garamond"/>
          <w:i/>
          <w:iCs/>
          <w:sz w:val="18"/>
          <w:szCs w:val="18"/>
          <w:lang w:val="es-ES"/>
        </w:rPr>
        <w:t>Reglamentación del suelo rural en Sumapaz</w:t>
      </w:r>
      <w:r w:rsidRPr="000D24D9">
        <w:rPr>
          <w:rFonts w:ascii="Garamond" w:hAnsi="Garamond"/>
          <w:sz w:val="18"/>
          <w:szCs w:val="18"/>
          <w:lang w:val="es-ES"/>
        </w:rPr>
        <w:t>.</w:t>
      </w:r>
    </w:p>
    <w:p w14:paraId="3926800C" w14:textId="77777777" w:rsidR="00EC7684" w:rsidRPr="000D24D9" w:rsidRDefault="00EC7684" w:rsidP="00360D68">
      <w:pPr>
        <w:pStyle w:val="Textonotapie"/>
        <w:rPr>
          <w:lang w:val="es-ES"/>
        </w:rPr>
      </w:pPr>
    </w:p>
  </w:footnote>
  <w:footnote w:id="9">
    <w:p w14:paraId="2095C2F7" w14:textId="77777777" w:rsidR="00EC7684" w:rsidRPr="00A1750A" w:rsidRDefault="00EC7684" w:rsidP="00DD2B81">
      <w:pPr>
        <w:jc w:val="both"/>
        <w:rPr>
          <w:rFonts w:ascii="Garamond" w:hAnsi="Garamond"/>
          <w:sz w:val="16"/>
          <w:szCs w:val="16"/>
          <w:lang w:val="es-CO"/>
        </w:rPr>
      </w:pPr>
      <w:r w:rsidRPr="00A1750A">
        <w:rPr>
          <w:rStyle w:val="Refdenotaalpie"/>
          <w:rFonts w:ascii="Garamond" w:hAnsi="Garamond"/>
          <w:sz w:val="16"/>
          <w:szCs w:val="16"/>
        </w:rPr>
        <w:footnoteRef/>
      </w:r>
      <w:r w:rsidRPr="00A1750A">
        <w:rPr>
          <w:rFonts w:ascii="Garamond" w:hAnsi="Garamond"/>
          <w:sz w:val="16"/>
          <w:szCs w:val="16"/>
        </w:rPr>
        <w:t xml:space="preserve"> </w:t>
      </w:r>
      <w:r w:rsidRPr="00A1750A">
        <w:rPr>
          <w:rFonts w:ascii="Garamond" w:hAnsi="Garamond"/>
          <w:sz w:val="16"/>
          <w:szCs w:val="16"/>
          <w:lang w:val="es-CO"/>
        </w:rPr>
        <w:t>Herramienta de visualización para el análisis de la demanda y de la oferta. Recuperado en:</w:t>
      </w:r>
      <w:r>
        <w:rPr>
          <w:rFonts w:ascii="Garamond" w:hAnsi="Garamond"/>
          <w:sz w:val="18"/>
          <w:szCs w:val="18"/>
          <w:lang w:val="es-CO"/>
        </w:rPr>
        <w:t xml:space="preserve"> </w:t>
      </w:r>
      <w:hyperlink r:id="rId7" w:history="1">
        <w:r w:rsidRPr="00A1750A">
          <w:rPr>
            <w:rStyle w:val="Hipervnculo"/>
            <w:rFonts w:ascii="Garamond" w:eastAsiaTheme="majorEastAsia" w:hAnsi="Garamond"/>
            <w:sz w:val="16"/>
            <w:szCs w:val="16"/>
            <w:lang w:val="es-CO"/>
          </w:rPr>
          <w:t>https://www.colombiacompra.gov.co/analisis-de-datos-de-compra-publica/visualizaciones-compra-publica/herramienta-de-visualizacion-para-el-analisis-de-la-demanda-y-de-la-oferta</w:t>
        </w:r>
      </w:hyperlink>
    </w:p>
    <w:p w14:paraId="2C6541EB" w14:textId="77777777" w:rsidR="00EC7684" w:rsidRDefault="00EC7684" w:rsidP="00DD2B81">
      <w:pPr>
        <w:pStyle w:val="Textonotapie"/>
      </w:pPr>
    </w:p>
  </w:footnote>
  <w:footnote w:id="10">
    <w:p w14:paraId="60F79540" w14:textId="3163D152" w:rsidR="00EC7684" w:rsidRPr="00093A49" w:rsidRDefault="00EC7684" w:rsidP="00093A49">
      <w:pPr>
        <w:jc w:val="both"/>
        <w:rPr>
          <w:rFonts w:ascii="Garamond" w:hAnsi="Garamond"/>
          <w:sz w:val="18"/>
          <w:szCs w:val="18"/>
          <w:lang w:val="es-CO"/>
        </w:rPr>
      </w:pPr>
      <w:r>
        <w:rPr>
          <w:rStyle w:val="Refdenotaalpie"/>
        </w:rPr>
        <w:footnoteRef/>
      </w:r>
      <w:r>
        <w:t xml:space="preserve"> </w:t>
      </w:r>
      <w:r>
        <w:rPr>
          <w:rFonts w:ascii="Garamond" w:hAnsi="Garamond"/>
          <w:sz w:val="18"/>
          <w:szCs w:val="18"/>
          <w:lang w:val="es-CO"/>
        </w:rPr>
        <w:t xml:space="preserve">Herramienta de visualización para el análisis de la demanda y de la oferta. Recuperado en: </w:t>
      </w:r>
      <w:hyperlink r:id="rId8" w:history="1">
        <w:r>
          <w:rPr>
            <w:rStyle w:val="Hipervnculo"/>
            <w:rFonts w:ascii="Garamond" w:eastAsiaTheme="majorEastAsia" w:hAnsi="Garamond"/>
            <w:sz w:val="18"/>
            <w:szCs w:val="18"/>
            <w:lang w:val="es-CO"/>
          </w:rPr>
          <w:t>https://www.colombiacompra.gov.co/analisis-de-datos-de-compra-publica/visualizaciones-compra-publica/herramienta-de-visualizacion-para-el-analisis-de-la-demanda-y-de-la-oferta</w:t>
        </w:r>
      </w:hyperlink>
    </w:p>
  </w:footnote>
  <w:footnote w:id="11">
    <w:p w14:paraId="59C58DA1" w14:textId="77777777" w:rsidR="00EC7684" w:rsidRPr="00093A49" w:rsidRDefault="00EC7684" w:rsidP="00E70C40">
      <w:pPr>
        <w:jc w:val="both"/>
        <w:rPr>
          <w:rFonts w:ascii="Garamond" w:hAnsi="Garamond"/>
          <w:sz w:val="18"/>
          <w:szCs w:val="18"/>
          <w:lang w:val="es-CO"/>
        </w:rPr>
      </w:pPr>
      <w:r>
        <w:rPr>
          <w:rStyle w:val="Refdenotaalpie"/>
        </w:rPr>
        <w:footnoteRef/>
      </w:r>
      <w:r>
        <w:t xml:space="preserve"> </w:t>
      </w:r>
      <w:r>
        <w:rPr>
          <w:rFonts w:ascii="Garamond" w:hAnsi="Garamond"/>
          <w:sz w:val="18"/>
          <w:szCs w:val="18"/>
          <w:lang w:val="es-CO"/>
        </w:rPr>
        <w:t xml:space="preserve">Herramienta de visualización para el análisis de la demanda y de la oferta. Recuperado en: </w:t>
      </w:r>
      <w:hyperlink r:id="rId9" w:history="1">
        <w:r>
          <w:rPr>
            <w:rStyle w:val="Hipervnculo"/>
            <w:rFonts w:ascii="Garamond" w:eastAsiaTheme="majorEastAsia" w:hAnsi="Garamond"/>
            <w:sz w:val="18"/>
            <w:szCs w:val="18"/>
            <w:lang w:val="es-CO"/>
          </w:rPr>
          <w:t>https://www.colombiacompra.gov.co/analisis-de-datos-de-compra-publica/visualizaciones-compra-publica/herramienta-de-visualizacion-para-el-analisis-de-la-demanda-y-de-la-oferta</w:t>
        </w:r>
      </w:hyperlink>
    </w:p>
  </w:footnote>
  <w:footnote w:id="12">
    <w:p w14:paraId="2E7004B6" w14:textId="77777777" w:rsidR="00EC7684" w:rsidRPr="00093A49" w:rsidRDefault="00EC7684" w:rsidP="00FC2638">
      <w:pPr>
        <w:jc w:val="both"/>
        <w:rPr>
          <w:rFonts w:ascii="Garamond" w:hAnsi="Garamond"/>
          <w:sz w:val="18"/>
          <w:szCs w:val="18"/>
          <w:lang w:val="es-CO"/>
        </w:rPr>
      </w:pPr>
      <w:r>
        <w:rPr>
          <w:rStyle w:val="Refdenotaalpie"/>
        </w:rPr>
        <w:footnoteRef/>
      </w:r>
      <w:r>
        <w:t xml:space="preserve"> </w:t>
      </w:r>
      <w:r>
        <w:rPr>
          <w:rFonts w:ascii="Garamond" w:hAnsi="Garamond"/>
          <w:sz w:val="18"/>
          <w:szCs w:val="18"/>
          <w:lang w:val="es-CO"/>
        </w:rPr>
        <w:t xml:space="preserve">Herramienta de visualización para el análisis de la demanda y de la oferta. Recuperado en: </w:t>
      </w:r>
      <w:hyperlink r:id="rId10" w:history="1">
        <w:r>
          <w:rPr>
            <w:rStyle w:val="Hipervnculo"/>
            <w:rFonts w:ascii="Garamond" w:eastAsiaTheme="majorEastAsia" w:hAnsi="Garamond"/>
            <w:sz w:val="18"/>
            <w:szCs w:val="18"/>
            <w:lang w:val="es-CO"/>
          </w:rPr>
          <w:t>https://www.colombiacompra.gov.co/analisis-de-datos-de-compra-publica/visualizaciones-compra-publica/herramienta-de-visualizacion-para-el-analisis-de-la-demanda-y-de-la-oferta</w:t>
        </w:r>
      </w:hyperlink>
    </w:p>
  </w:footnote>
  <w:footnote w:id="13">
    <w:p w14:paraId="5E4052A9" w14:textId="77777777" w:rsidR="00EC7684" w:rsidRPr="00AE2D34" w:rsidRDefault="00EC7684" w:rsidP="00763CA9">
      <w:pPr>
        <w:pStyle w:val="Textonotapie"/>
        <w:rPr>
          <w:sz w:val="14"/>
          <w:szCs w:val="14"/>
        </w:rPr>
      </w:pPr>
      <w:r w:rsidRPr="0061502D">
        <w:rPr>
          <w:rStyle w:val="Refdenotaalpie"/>
          <w:rFonts w:eastAsia="Aptos"/>
          <w:sz w:val="14"/>
          <w:szCs w:val="14"/>
        </w:rPr>
        <w:footnoteRef/>
      </w:r>
      <w:r w:rsidRPr="00AE2D34">
        <w:rPr>
          <w:sz w:val="14"/>
          <w:szCs w:val="14"/>
        </w:rPr>
        <w:t xml:space="preserve"> FACTORES DE RIESGO Y CÁLCULO DE PRIMAS MEDIANTE TÉCNICAS DE APRENDIZAJE Carlos Bousoño Calzón Antonio Heras Martínez - Piedad Tolmos Rodríguez-Piñero – FUNDACION MAPFRE 2008</w:t>
      </w:r>
    </w:p>
  </w:footnote>
  <w:footnote w:id="14">
    <w:p w14:paraId="55F8D5C0" w14:textId="77777777" w:rsidR="00EC7684" w:rsidRPr="00FD6738" w:rsidRDefault="00EC7684" w:rsidP="006D367F">
      <w:pPr>
        <w:pStyle w:val="Textonotapie"/>
        <w:rPr>
          <w:rFonts w:ascii="Arial Narrow" w:hAnsi="Arial Narrow"/>
          <w:sz w:val="16"/>
          <w:szCs w:val="16"/>
        </w:rPr>
      </w:pPr>
      <w:r w:rsidRPr="00FD6738">
        <w:rPr>
          <w:rStyle w:val="Refdenotaalpie"/>
          <w:rFonts w:ascii="Arial Narrow" w:eastAsia="Arial" w:hAnsi="Arial Narrow"/>
          <w:sz w:val="16"/>
          <w:szCs w:val="16"/>
        </w:rPr>
        <w:footnoteRef/>
      </w:r>
      <w:r w:rsidRPr="00FD6738">
        <w:rPr>
          <w:rFonts w:ascii="Arial Narrow" w:hAnsi="Arial Narrow"/>
          <w:sz w:val="16"/>
          <w:szCs w:val="16"/>
        </w:rPr>
        <w:t xml:space="preserve"> Decreto 1860 de 2021. “Por el cual se modifica y adiciona el Decreto 1082 de 2015, Único Reglamentario del Sector Administrativo de Planeación Nacional, con el fin reglamentar los artículos 30, 31, 32, 34 y 35 de la Ley 2069 de 2020, en lo relativo al sistema de compras públicas y se dictan otras disposiciones”, artículos 2.2.1.2.4.2.15 y 2.2.1.2.4.2.18, disponible en: </w:t>
      </w:r>
      <w:hyperlink r:id="rId11" w:history="1">
        <w:r w:rsidRPr="00FD6738">
          <w:rPr>
            <w:rStyle w:val="Hipervnculo"/>
            <w:rFonts w:ascii="Arial Narrow" w:eastAsia="Arial" w:hAnsi="Arial Narrow"/>
            <w:sz w:val="16"/>
            <w:szCs w:val="16"/>
          </w:rPr>
          <w:t>https://www.funcionpublica.gov.co/eva/gestornormativo/norma.php?i=175187</w:t>
        </w:r>
      </w:hyperlink>
      <w:r w:rsidRPr="00FD6738">
        <w:rPr>
          <w:rFonts w:ascii="Arial Narrow" w:hAnsi="Arial Narrow"/>
          <w:sz w:val="16"/>
          <w:szCs w:val="16"/>
        </w:rPr>
        <w:t>, fecha de consulta: marzo 14 de 2024.</w:t>
      </w:r>
    </w:p>
  </w:footnote>
  <w:footnote w:id="15">
    <w:p w14:paraId="462D083B" w14:textId="77777777" w:rsidR="00EC7684" w:rsidRDefault="00EC7684" w:rsidP="006D367F">
      <w:pPr>
        <w:pStyle w:val="Textonotapie"/>
        <w:rPr>
          <w:sz w:val="16"/>
          <w:szCs w:val="16"/>
        </w:rPr>
      </w:pPr>
      <w:r w:rsidRPr="00FD6738">
        <w:rPr>
          <w:rStyle w:val="Refdenotaalpie"/>
          <w:rFonts w:ascii="Arial Narrow" w:eastAsia="Arial" w:hAnsi="Arial Narrow"/>
          <w:sz w:val="16"/>
          <w:szCs w:val="16"/>
        </w:rPr>
        <w:footnoteRef/>
      </w:r>
      <w:r w:rsidRPr="00FD6738">
        <w:rPr>
          <w:rFonts w:ascii="Arial Narrow" w:hAnsi="Arial Narrow"/>
          <w:sz w:val="16"/>
          <w:szCs w:val="16"/>
        </w:rPr>
        <w:t xml:space="preserve"> Decreto 957 de 2019 del Ministerio de Comercio, Industria y Turismo. Disponible en: </w:t>
      </w:r>
      <w:hyperlink r:id="rId12" w:history="1">
        <w:r w:rsidRPr="00FD6738">
          <w:rPr>
            <w:rStyle w:val="Hipervnculo"/>
            <w:rFonts w:ascii="Arial Narrow" w:eastAsia="Arial" w:hAnsi="Arial Narrow"/>
            <w:sz w:val="16"/>
            <w:szCs w:val="16"/>
          </w:rPr>
          <w:t>https://dapre.presidencia.gov.co/normativa/normativa/DECRETO%20957%20DEL%2005%20DE%20JUNIO%20DE%202019.pdf</w:t>
        </w:r>
      </w:hyperlink>
      <w:r>
        <w:rPr>
          <w:sz w:val="16"/>
          <w:szCs w:val="16"/>
        </w:rPr>
        <w:t xml:space="preserve"> </w:t>
      </w:r>
    </w:p>
  </w:footnote>
  <w:footnote w:id="16">
    <w:p w14:paraId="48A1A556" w14:textId="77777777" w:rsidR="00EC7684" w:rsidRPr="0037660D" w:rsidRDefault="00EC7684" w:rsidP="006D367F">
      <w:pPr>
        <w:spacing w:line="240" w:lineRule="atLeast"/>
        <w:ind w:hanging="2"/>
        <w:rPr>
          <w:sz w:val="14"/>
          <w:szCs w:val="14"/>
        </w:rPr>
      </w:pPr>
      <w:r w:rsidRPr="0037660D">
        <w:rPr>
          <w:sz w:val="14"/>
          <w:szCs w:val="14"/>
          <w:vertAlign w:val="superscript"/>
        </w:rPr>
        <w:footnoteRef/>
      </w:r>
      <w:r w:rsidRPr="0037660D">
        <w:rPr>
          <w:sz w:val="14"/>
          <w:szCs w:val="14"/>
        </w:rPr>
        <w:t xml:space="preserve"> </w:t>
      </w:r>
      <w:bookmarkStart w:id="33" w:name="_Hlk219459633"/>
      <w:r w:rsidRPr="0037660D">
        <w:rPr>
          <w:sz w:val="14"/>
          <w:szCs w:val="14"/>
        </w:rPr>
        <w:t>"Por medio del cual se impulsa el emprendimiento en Colombia"</w:t>
      </w:r>
      <w:bookmarkEnd w:id="33"/>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C42669" w14:textId="70BD9E0E" w:rsidR="00EC7684" w:rsidRDefault="00EC7684">
    <w:pPr>
      <w:pStyle w:val="Textoindependiente"/>
      <w:spacing w:line="14" w:lineRule="auto"/>
      <w:rPr>
        <w:sz w:val="20"/>
      </w:rPr>
    </w:pPr>
    <w:r>
      <w:rPr>
        <w:noProof/>
        <w:sz w:val="20"/>
      </w:rPr>
      <mc:AlternateContent>
        <mc:Choice Requires="wps">
          <w:drawing>
            <wp:anchor distT="0" distB="0" distL="0" distR="0" simplePos="0" relativeHeight="486484480" behindDoc="1" locked="0" layoutInCell="1" allowOverlap="1" wp14:anchorId="138CF045" wp14:editId="2260068E">
              <wp:simplePos x="0" y="0"/>
              <wp:positionH relativeFrom="page">
                <wp:posOffset>2798619</wp:posOffset>
              </wp:positionH>
              <wp:positionV relativeFrom="page">
                <wp:posOffset>429491</wp:posOffset>
              </wp:positionV>
              <wp:extent cx="3912004" cy="523875"/>
              <wp:effectExtent l="0" t="0" r="0" b="0"/>
              <wp:wrapNone/>
              <wp:docPr id="2"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912004" cy="523875"/>
                      </a:xfrm>
                      <a:prstGeom prst="rect">
                        <a:avLst/>
                      </a:prstGeom>
                    </wps:spPr>
                    <wps:txbx>
                      <w:txbxContent>
                        <w:p w14:paraId="0DEB986F" w14:textId="77777777" w:rsidR="00EC7684" w:rsidRDefault="00EC7684">
                          <w:pPr>
                            <w:spacing w:before="14" w:line="235" w:lineRule="auto"/>
                            <w:ind w:left="20" w:right="18" w:firstLine="698"/>
                            <w:jc w:val="right"/>
                            <w:rPr>
                              <w:b/>
                              <w:sz w:val="24"/>
                            </w:rPr>
                          </w:pPr>
                          <w:r>
                            <w:rPr>
                              <w:b/>
                              <w:sz w:val="24"/>
                            </w:rPr>
                            <w:t>ESTUDIO</w:t>
                          </w:r>
                          <w:r>
                            <w:rPr>
                              <w:b/>
                              <w:spacing w:val="-6"/>
                              <w:sz w:val="24"/>
                            </w:rPr>
                            <w:t xml:space="preserve"> </w:t>
                          </w:r>
                          <w:r>
                            <w:rPr>
                              <w:b/>
                              <w:sz w:val="24"/>
                            </w:rPr>
                            <w:t>DEL</w:t>
                          </w:r>
                          <w:r>
                            <w:rPr>
                              <w:b/>
                              <w:spacing w:val="-7"/>
                              <w:sz w:val="24"/>
                            </w:rPr>
                            <w:t xml:space="preserve"> </w:t>
                          </w:r>
                          <w:r>
                            <w:rPr>
                              <w:b/>
                              <w:sz w:val="24"/>
                            </w:rPr>
                            <w:t xml:space="preserve">SECTOR </w:t>
                          </w:r>
                        </w:p>
                        <w:p w14:paraId="1627D1B0" w14:textId="4A52318F" w:rsidR="00EC7684" w:rsidRDefault="00EC7684">
                          <w:pPr>
                            <w:spacing w:before="14" w:line="235" w:lineRule="auto"/>
                            <w:ind w:left="20" w:right="18" w:firstLine="698"/>
                            <w:jc w:val="right"/>
                            <w:rPr>
                              <w:b/>
                              <w:sz w:val="24"/>
                            </w:rPr>
                          </w:pPr>
                          <w:r>
                            <w:rPr>
                              <w:b/>
                              <w:sz w:val="24"/>
                            </w:rPr>
                            <w:t>MÍNIMA CUANTÍA</w:t>
                          </w:r>
                        </w:p>
                        <w:p w14:paraId="5A4211E9" w14:textId="224397EB" w:rsidR="00EC7684" w:rsidRDefault="00EC7684">
                          <w:pPr>
                            <w:spacing w:before="14" w:line="235" w:lineRule="auto"/>
                            <w:ind w:left="20" w:right="18" w:firstLine="698"/>
                            <w:jc w:val="right"/>
                            <w:rPr>
                              <w:b/>
                            </w:rPr>
                          </w:pPr>
                          <w:r>
                            <w:rPr>
                              <w:b/>
                              <w:spacing w:val="-4"/>
                            </w:rPr>
                            <w:t>ALCALDÍA</w:t>
                          </w:r>
                          <w:r>
                            <w:rPr>
                              <w:b/>
                              <w:spacing w:val="-3"/>
                            </w:rPr>
                            <w:t xml:space="preserve"> </w:t>
                          </w:r>
                          <w:r>
                            <w:rPr>
                              <w:b/>
                              <w:spacing w:val="-4"/>
                            </w:rPr>
                            <w:t>LOCAL</w:t>
                          </w:r>
                          <w:r>
                            <w:rPr>
                              <w:b/>
                              <w:spacing w:val="-2"/>
                            </w:rPr>
                            <w:t xml:space="preserve"> </w:t>
                          </w:r>
                          <w:r>
                            <w:rPr>
                              <w:b/>
                              <w:spacing w:val="-4"/>
                            </w:rPr>
                            <w:t>DE</w:t>
                          </w:r>
                          <w:r>
                            <w:rPr>
                              <w:b/>
                              <w:spacing w:val="-1"/>
                            </w:rPr>
                            <w:t xml:space="preserve"> </w:t>
                          </w:r>
                          <w:r>
                            <w:rPr>
                              <w:b/>
                              <w:spacing w:val="-9"/>
                            </w:rPr>
                            <w:t>SUMAPAZ</w:t>
                          </w:r>
                        </w:p>
                      </w:txbxContent>
                    </wps:txbx>
                    <wps:bodyPr wrap="square" lIns="0" tIns="0" rIns="0" bIns="0" rtlCol="0">
                      <a:noAutofit/>
                    </wps:bodyPr>
                  </wps:wsp>
                </a:graphicData>
              </a:graphic>
              <wp14:sizeRelH relativeFrom="margin">
                <wp14:pctWidth>0</wp14:pctWidth>
              </wp14:sizeRelH>
            </wp:anchor>
          </w:drawing>
        </mc:Choice>
        <mc:Fallback>
          <w:pict>
            <v:shapetype w14:anchorId="138CF045" id="_x0000_t202" coordsize="21600,21600" o:spt="202" path="m,l,21600r21600,l21600,xe">
              <v:stroke joinstyle="miter"/>
              <v:path gradientshapeok="t" o:connecttype="rect"/>
            </v:shapetype>
            <v:shape id="Textbox 2" o:spid="_x0000_s1026" type="#_x0000_t202" style="position:absolute;margin-left:220.35pt;margin-top:33.8pt;width:308.05pt;height:41.25pt;z-index:-16832000;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" filled="f" stroked="f">
              <v:textbox inset="0,0,0,0">
                <w:txbxContent>
                  <w:p w14:paraId="0DEB986F" w14:textId="77777777" w:rsidR="00EC7684" w:rsidRDefault="00EC7684">
                    <w:pPr>
                      <w:spacing w:before="14" w:line="235" w:lineRule="auto"/>
                      <w:ind w:left="20" w:right="18" w:firstLine="698"/>
                      <w:jc w:val="right"/>
                      <w:rPr>
                        <w:b/>
                        <w:sz w:val="24"/>
                      </w:rPr>
                    </w:pPr>
                    <w:r>
                      <w:rPr>
                        <w:b/>
                        <w:sz w:val="24"/>
                      </w:rPr>
                      <w:t>ESTUDIO</w:t>
                    </w:r>
                    <w:r>
                      <w:rPr>
                        <w:b/>
                        <w:spacing w:val="-6"/>
                        <w:sz w:val="24"/>
                      </w:rPr>
                      <w:t xml:space="preserve"> </w:t>
                    </w:r>
                    <w:r>
                      <w:rPr>
                        <w:b/>
                        <w:sz w:val="24"/>
                      </w:rPr>
                      <w:t>DEL</w:t>
                    </w:r>
                    <w:r>
                      <w:rPr>
                        <w:b/>
                        <w:spacing w:val="-7"/>
                        <w:sz w:val="24"/>
                      </w:rPr>
                      <w:t xml:space="preserve"> </w:t>
                    </w:r>
                    <w:r>
                      <w:rPr>
                        <w:b/>
                        <w:sz w:val="24"/>
                      </w:rPr>
                      <w:t xml:space="preserve">SECTOR </w:t>
                    </w:r>
                  </w:p>
                  <w:p w14:paraId="1627D1B0" w14:textId="4A52318F" w:rsidR="00EC7684" w:rsidRDefault="00EC7684">
                    <w:pPr>
                      <w:spacing w:before="14" w:line="235" w:lineRule="auto"/>
                      <w:ind w:left="20" w:right="18" w:firstLine="698"/>
                      <w:jc w:val="right"/>
                      <w:rPr>
                        <w:b/>
                        <w:sz w:val="24"/>
                      </w:rPr>
                    </w:pPr>
                    <w:r>
                      <w:rPr>
                        <w:b/>
                        <w:sz w:val="24"/>
                      </w:rPr>
                      <w:t>MÍNIMA CUANTÍA</w:t>
                    </w:r>
                  </w:p>
                  <w:p w14:paraId="5A4211E9" w14:textId="224397EB" w:rsidR="00EC7684" w:rsidRDefault="00EC7684">
                    <w:pPr>
                      <w:spacing w:before="14" w:line="235" w:lineRule="auto"/>
                      <w:ind w:left="20" w:right="18" w:firstLine="698"/>
                      <w:jc w:val="right"/>
                      <w:rPr>
                        <w:b/>
                      </w:rPr>
                    </w:pPr>
                    <w:r>
                      <w:rPr>
                        <w:b/>
                        <w:spacing w:val="-4"/>
                      </w:rPr>
                      <w:t>ALCALDÍA</w:t>
                    </w:r>
                    <w:r>
                      <w:rPr>
                        <w:b/>
                        <w:spacing w:val="-3"/>
                      </w:rPr>
                      <w:t xml:space="preserve"> </w:t>
                    </w:r>
                    <w:r>
                      <w:rPr>
                        <w:b/>
                        <w:spacing w:val="-4"/>
                      </w:rPr>
                      <w:t>LOCAL</w:t>
                    </w:r>
                    <w:r>
                      <w:rPr>
                        <w:b/>
                        <w:spacing w:val="-2"/>
                      </w:rPr>
                      <w:t xml:space="preserve"> </w:t>
                    </w:r>
                    <w:r>
                      <w:rPr>
                        <w:b/>
                        <w:spacing w:val="-4"/>
                      </w:rPr>
                      <w:t>DE</w:t>
                    </w:r>
                    <w:r>
                      <w:rPr>
                        <w:b/>
                        <w:spacing w:val="-1"/>
                      </w:rPr>
                      <w:t xml:space="preserve"> </w:t>
                    </w:r>
                    <w:r>
                      <w:rPr>
                        <w:b/>
                        <w:spacing w:val="-9"/>
                      </w:rPr>
                      <w:t>SUMAPAZ</w:t>
                    </w:r>
                  </w:p>
                </w:txbxContent>
              </v:textbox>
              <w10:wrap anchorx="page" anchory="page"/>
            </v:shape>
          </w:pict>
        </mc:Fallback>
      </mc:AlternateContent>
    </w:r>
    <w:r>
      <w:rPr>
        <w:noProof/>
        <w:sz w:val="20"/>
      </w:rPr>
      <w:drawing>
        <wp:anchor distT="0" distB="0" distL="0" distR="0" simplePos="0" relativeHeight="486483968" behindDoc="1" locked="0" layoutInCell="1" allowOverlap="1" wp14:anchorId="14A7ED21" wp14:editId="58BA9FB9">
          <wp:simplePos x="0" y="0"/>
          <wp:positionH relativeFrom="page">
            <wp:posOffset>307975</wp:posOffset>
          </wp:positionH>
          <wp:positionV relativeFrom="page">
            <wp:posOffset>163195</wp:posOffset>
          </wp:positionV>
          <wp:extent cx="2372360" cy="593090"/>
          <wp:effectExtent l="0" t="0" r="0" b="0"/>
          <wp:wrapNone/>
          <wp:docPr id="1"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 cstate="print"/>
                  <a:stretch>
                    <a:fillRect/>
                  </a:stretch>
                </pic:blipFill>
                <pic:spPr>
                  <a:xfrm>
                    <a:off x="0" y="0"/>
                    <a:ext cx="2372360" cy="593090"/>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1726D3" w14:textId="59571218" w:rsidR="00EC7684" w:rsidRDefault="00EC7684">
    <w:pPr>
      <w:pStyle w:val="Textoindependiente"/>
      <w:spacing w:line="14" w:lineRule="auto"/>
      <w:rPr>
        <w:sz w:val="20"/>
      </w:rPr>
    </w:pPr>
    <w:r>
      <w:rPr>
        <w:noProof/>
        <w:sz w:val="20"/>
      </w:rPr>
      <w:drawing>
        <wp:anchor distT="0" distB="0" distL="0" distR="0" simplePos="0" relativeHeight="486497792" behindDoc="1" locked="0" layoutInCell="1" allowOverlap="1" wp14:anchorId="16C42B2C" wp14:editId="7C5E1522">
          <wp:simplePos x="0" y="0"/>
          <wp:positionH relativeFrom="page">
            <wp:posOffset>307975</wp:posOffset>
          </wp:positionH>
          <wp:positionV relativeFrom="page">
            <wp:posOffset>163195</wp:posOffset>
          </wp:positionV>
          <wp:extent cx="2372360" cy="593090"/>
          <wp:effectExtent l="0" t="0" r="0" b="0"/>
          <wp:wrapNone/>
          <wp:docPr id="1182166898" name="Image 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0" name="Image 70"/>
                  <pic:cNvPicPr/>
                </pic:nvPicPr>
                <pic:blipFill>
                  <a:blip r:embed="rId1" cstate="print"/>
                  <a:stretch>
                    <a:fillRect/>
                  </a:stretch>
                </pic:blipFill>
                <pic:spPr>
                  <a:xfrm>
                    <a:off x="0" y="0"/>
                    <a:ext cx="2372360" cy="593090"/>
                  </a:xfrm>
                  <a:prstGeom prst="rect">
                    <a:avLst/>
                  </a:prstGeom>
                </pic:spPr>
              </pic:pic>
            </a:graphicData>
          </a:graphic>
        </wp:anchor>
      </w:drawing>
    </w:r>
    <w:r>
      <w:rPr>
        <w:noProof/>
        <w:sz w:val="20"/>
      </w:rPr>
      <mc:AlternateContent>
        <mc:Choice Requires="wps">
          <w:drawing>
            <wp:anchor distT="0" distB="0" distL="0" distR="0" simplePos="0" relativeHeight="486498304" behindDoc="1" locked="0" layoutInCell="1" allowOverlap="1" wp14:anchorId="1849740F" wp14:editId="54F6156D">
              <wp:simplePos x="0" y="0"/>
              <wp:positionH relativeFrom="page">
                <wp:posOffset>4523613</wp:posOffset>
              </wp:positionH>
              <wp:positionV relativeFrom="page">
                <wp:posOffset>432138</wp:posOffset>
              </wp:positionV>
              <wp:extent cx="2187575" cy="523875"/>
              <wp:effectExtent l="0" t="0" r="0" b="0"/>
              <wp:wrapNone/>
              <wp:docPr id="71" name="Text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87575" cy="523875"/>
                      </a:xfrm>
                      <a:prstGeom prst="rect">
                        <a:avLst/>
                      </a:prstGeom>
                    </wps:spPr>
                    <wps:txbx>
                      <w:txbxContent>
                        <w:p w14:paraId="3BE4E9EA" w14:textId="77777777" w:rsidR="00EC7684" w:rsidRDefault="00EC7684" w:rsidP="00D76F04">
                          <w:pPr>
                            <w:spacing w:before="14" w:line="235" w:lineRule="auto"/>
                            <w:ind w:left="20" w:right="18" w:firstLine="698"/>
                            <w:jc w:val="right"/>
                            <w:rPr>
                              <w:b/>
                              <w:sz w:val="24"/>
                            </w:rPr>
                          </w:pPr>
                          <w:r>
                            <w:rPr>
                              <w:b/>
                              <w:sz w:val="24"/>
                            </w:rPr>
                            <w:t>ESTUDIO</w:t>
                          </w:r>
                          <w:r>
                            <w:rPr>
                              <w:b/>
                              <w:spacing w:val="-6"/>
                              <w:sz w:val="24"/>
                            </w:rPr>
                            <w:t xml:space="preserve"> </w:t>
                          </w:r>
                          <w:r>
                            <w:rPr>
                              <w:b/>
                              <w:sz w:val="24"/>
                            </w:rPr>
                            <w:t>DEL</w:t>
                          </w:r>
                          <w:r>
                            <w:rPr>
                              <w:b/>
                              <w:spacing w:val="-7"/>
                              <w:sz w:val="24"/>
                            </w:rPr>
                            <w:t xml:space="preserve"> </w:t>
                          </w:r>
                          <w:r>
                            <w:rPr>
                              <w:b/>
                              <w:sz w:val="24"/>
                            </w:rPr>
                            <w:t>SECTOR MÍNIMA CUANTÍA</w:t>
                          </w:r>
                        </w:p>
                        <w:p w14:paraId="6425546D" w14:textId="57EE8941" w:rsidR="00EC7684" w:rsidRDefault="00EC7684">
                          <w:pPr>
                            <w:spacing w:before="14" w:line="235" w:lineRule="auto"/>
                            <w:ind w:left="20" w:right="18" w:firstLine="698"/>
                            <w:jc w:val="right"/>
                            <w:rPr>
                              <w:b/>
                            </w:rPr>
                          </w:pPr>
                          <w:r>
                            <w:rPr>
                              <w:b/>
                              <w:spacing w:val="-4"/>
                            </w:rPr>
                            <w:t>ALCALDÍA</w:t>
                          </w:r>
                          <w:r>
                            <w:rPr>
                              <w:b/>
                              <w:spacing w:val="-3"/>
                            </w:rPr>
                            <w:t xml:space="preserve"> </w:t>
                          </w:r>
                          <w:r>
                            <w:rPr>
                              <w:b/>
                              <w:spacing w:val="-4"/>
                            </w:rPr>
                            <w:t>LOCAL</w:t>
                          </w:r>
                          <w:r>
                            <w:rPr>
                              <w:b/>
                              <w:spacing w:val="-2"/>
                            </w:rPr>
                            <w:t xml:space="preserve"> </w:t>
                          </w:r>
                          <w:r>
                            <w:rPr>
                              <w:b/>
                              <w:spacing w:val="-4"/>
                            </w:rPr>
                            <w:t>DE</w:t>
                          </w:r>
                          <w:r>
                            <w:rPr>
                              <w:b/>
                              <w:spacing w:val="-1"/>
                            </w:rPr>
                            <w:t xml:space="preserve"> </w:t>
                          </w:r>
                          <w:r>
                            <w:rPr>
                              <w:b/>
                              <w:spacing w:val="-9"/>
                            </w:rPr>
                            <w:t>SUMAPAZ</w:t>
                          </w:r>
                        </w:p>
                      </w:txbxContent>
                    </wps:txbx>
                    <wps:bodyPr wrap="square" lIns="0" tIns="0" rIns="0" bIns="0" rtlCol="0">
                      <a:noAutofit/>
                    </wps:bodyPr>
                  </wps:wsp>
                </a:graphicData>
              </a:graphic>
            </wp:anchor>
          </w:drawing>
        </mc:Choice>
        <mc:Fallback>
          <w:pict>
            <v:shapetype w14:anchorId="1849740F" id="_x0000_t202" coordsize="21600,21600" o:spt="202" path="m,l,21600r21600,l21600,xe">
              <v:stroke joinstyle="miter"/>
              <v:path gradientshapeok="t" o:connecttype="rect"/>
            </v:shapetype>
            <v:shape id="Textbox 71" o:spid="_x0000_s1028" type="#_x0000_t202" style="position:absolute;margin-left:356.2pt;margin-top:34.05pt;width:172.25pt;height:41.25pt;z-index:-168181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" filled="f" stroked="f">
              <v:textbox inset="0,0,0,0">
                <w:txbxContent>
                  <w:p w14:paraId="3BE4E9EA" w14:textId="77777777" w:rsidR="00EC7684" w:rsidRDefault="00EC7684" w:rsidP="00D76F04">
                    <w:pPr>
                      <w:spacing w:before="14" w:line="235" w:lineRule="auto"/>
                      <w:ind w:left="20" w:right="18" w:firstLine="698"/>
                      <w:jc w:val="right"/>
                      <w:rPr>
                        <w:b/>
                        <w:sz w:val="24"/>
                      </w:rPr>
                    </w:pPr>
                    <w:r>
                      <w:rPr>
                        <w:b/>
                        <w:sz w:val="24"/>
                      </w:rPr>
                      <w:t>ESTUDIO</w:t>
                    </w:r>
                    <w:r>
                      <w:rPr>
                        <w:b/>
                        <w:spacing w:val="-6"/>
                        <w:sz w:val="24"/>
                      </w:rPr>
                      <w:t xml:space="preserve"> </w:t>
                    </w:r>
                    <w:r>
                      <w:rPr>
                        <w:b/>
                        <w:sz w:val="24"/>
                      </w:rPr>
                      <w:t>DEL</w:t>
                    </w:r>
                    <w:r>
                      <w:rPr>
                        <w:b/>
                        <w:spacing w:val="-7"/>
                        <w:sz w:val="24"/>
                      </w:rPr>
                      <w:t xml:space="preserve"> </w:t>
                    </w:r>
                    <w:r>
                      <w:rPr>
                        <w:b/>
                        <w:sz w:val="24"/>
                      </w:rPr>
                      <w:t>SECTOR MÍNIMA CUANTÍA</w:t>
                    </w:r>
                  </w:p>
                  <w:p w14:paraId="6425546D" w14:textId="57EE8941" w:rsidR="00EC7684" w:rsidRDefault="00EC7684">
                    <w:pPr>
                      <w:spacing w:before="14" w:line="235" w:lineRule="auto"/>
                      <w:ind w:left="20" w:right="18" w:firstLine="698"/>
                      <w:jc w:val="right"/>
                      <w:rPr>
                        <w:b/>
                      </w:rPr>
                    </w:pPr>
                    <w:r>
                      <w:rPr>
                        <w:b/>
                        <w:spacing w:val="-4"/>
                      </w:rPr>
                      <w:t>ALCALDÍA</w:t>
                    </w:r>
                    <w:r>
                      <w:rPr>
                        <w:b/>
                        <w:spacing w:val="-3"/>
                      </w:rPr>
                      <w:t xml:space="preserve"> </w:t>
                    </w:r>
                    <w:r>
                      <w:rPr>
                        <w:b/>
                        <w:spacing w:val="-4"/>
                      </w:rPr>
                      <w:t>LOCAL</w:t>
                    </w:r>
                    <w:r>
                      <w:rPr>
                        <w:b/>
                        <w:spacing w:val="-2"/>
                      </w:rPr>
                      <w:t xml:space="preserve"> </w:t>
                    </w:r>
                    <w:r>
                      <w:rPr>
                        <w:b/>
                        <w:spacing w:val="-4"/>
                      </w:rPr>
                      <w:t>DE</w:t>
                    </w:r>
                    <w:r>
                      <w:rPr>
                        <w:b/>
                        <w:spacing w:val="-1"/>
                      </w:rPr>
                      <w:t xml:space="preserve"> </w:t>
                    </w:r>
                    <w:r>
                      <w:rPr>
                        <w:b/>
                        <w:spacing w:val="-9"/>
                      </w:rPr>
                      <w:t>SUMAPAZ</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6"/>
    <w:multiLevelType w:val="singleLevel"/>
    <w:tmpl w:val="00000006"/>
    <w:name w:val="WW8Num6"/>
    <w:lvl w:ilvl="0">
      <w:start w:val="1"/>
      <w:numFmt w:val="bullet"/>
      <w:lvlText w:val=""/>
      <w:lvlJc w:val="left"/>
      <w:pPr>
        <w:tabs>
          <w:tab w:val="num" w:pos="0"/>
        </w:tabs>
        <w:ind w:left="720" w:hanging="360"/>
      </w:pPr>
      <w:rPr>
        <w:rFonts w:ascii="Symbol" w:hAnsi="Symbol" w:cs="Symbol"/>
      </w:rPr>
    </w:lvl>
  </w:abstractNum>
  <w:abstractNum w:abstractNumId="1" w15:restartNumberingAfterBreak="0">
    <w:nsid w:val="02EF4356"/>
    <w:multiLevelType w:val="hybridMultilevel"/>
    <w:tmpl w:val="449EB44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3FF774E"/>
    <w:multiLevelType w:val="hybridMultilevel"/>
    <w:tmpl w:val="74B4818C"/>
    <w:lvl w:ilvl="0" w:tplc="240A0019">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0A545C67"/>
    <w:multiLevelType w:val="hybridMultilevel"/>
    <w:tmpl w:val="E988899A"/>
    <w:lvl w:ilvl="0" w:tplc="6D40C7A6">
      <w:start w:val="5"/>
      <w:numFmt w:val="bullet"/>
      <w:lvlText w:val="-"/>
      <w:lvlJc w:val="left"/>
      <w:pPr>
        <w:ind w:left="720" w:hanging="360"/>
      </w:pPr>
      <w:rPr>
        <w:rFonts w:ascii="Garamond" w:eastAsia="Times New Roman" w:hAnsi="Garamond"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0A8B2416"/>
    <w:multiLevelType w:val="hybridMultilevel"/>
    <w:tmpl w:val="67CEA87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0DC157F4"/>
    <w:multiLevelType w:val="multilevel"/>
    <w:tmpl w:val="3FF2AF26"/>
    <w:lvl w:ilvl="0">
      <w:start w:val="6"/>
      <w:numFmt w:val="decimal"/>
      <w:lvlText w:val="%1."/>
      <w:lvlJc w:val="left"/>
      <w:pPr>
        <w:ind w:left="360" w:hanging="360"/>
      </w:pPr>
      <w:rPr>
        <w:rFonts w:hint="default"/>
        <w:b/>
        <w:bCs/>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15:restartNumberingAfterBreak="0">
    <w:nsid w:val="0EAA472A"/>
    <w:multiLevelType w:val="hybridMultilevel"/>
    <w:tmpl w:val="B0EE0D9E"/>
    <w:lvl w:ilvl="0" w:tplc="C3008754">
      <w:start w:val="1"/>
      <w:numFmt w:val="decimal"/>
      <w:lvlText w:val="%1."/>
      <w:lvlJc w:val="left"/>
      <w:pPr>
        <w:ind w:left="720" w:hanging="360"/>
      </w:pPr>
      <w:rPr>
        <w:rFonts w:hint="default"/>
        <w:b w:val="0"/>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1783340C"/>
    <w:multiLevelType w:val="hybridMultilevel"/>
    <w:tmpl w:val="E60A98B4"/>
    <w:lvl w:ilvl="0" w:tplc="240A0001">
      <w:start w:val="1"/>
      <w:numFmt w:val="bullet"/>
      <w:lvlText w:val=""/>
      <w:lvlJc w:val="left"/>
      <w:pPr>
        <w:ind w:left="582" w:hanging="360"/>
      </w:pPr>
      <w:rPr>
        <w:rFonts w:ascii="Symbol" w:hAnsi="Symbol" w:hint="default"/>
        <w:b/>
      </w:rPr>
    </w:lvl>
    <w:lvl w:ilvl="1" w:tplc="240A0019" w:tentative="1">
      <w:start w:val="1"/>
      <w:numFmt w:val="lowerLetter"/>
      <w:lvlText w:val="%2."/>
      <w:lvlJc w:val="left"/>
      <w:pPr>
        <w:ind w:left="1302" w:hanging="360"/>
      </w:pPr>
    </w:lvl>
    <w:lvl w:ilvl="2" w:tplc="240A001B" w:tentative="1">
      <w:start w:val="1"/>
      <w:numFmt w:val="lowerRoman"/>
      <w:lvlText w:val="%3."/>
      <w:lvlJc w:val="right"/>
      <w:pPr>
        <w:ind w:left="2022" w:hanging="180"/>
      </w:pPr>
    </w:lvl>
    <w:lvl w:ilvl="3" w:tplc="240A000F" w:tentative="1">
      <w:start w:val="1"/>
      <w:numFmt w:val="decimal"/>
      <w:lvlText w:val="%4."/>
      <w:lvlJc w:val="left"/>
      <w:pPr>
        <w:ind w:left="2742" w:hanging="360"/>
      </w:pPr>
    </w:lvl>
    <w:lvl w:ilvl="4" w:tplc="240A0019" w:tentative="1">
      <w:start w:val="1"/>
      <w:numFmt w:val="lowerLetter"/>
      <w:lvlText w:val="%5."/>
      <w:lvlJc w:val="left"/>
      <w:pPr>
        <w:ind w:left="3462" w:hanging="360"/>
      </w:pPr>
    </w:lvl>
    <w:lvl w:ilvl="5" w:tplc="240A001B" w:tentative="1">
      <w:start w:val="1"/>
      <w:numFmt w:val="lowerRoman"/>
      <w:lvlText w:val="%6."/>
      <w:lvlJc w:val="right"/>
      <w:pPr>
        <w:ind w:left="4182" w:hanging="180"/>
      </w:pPr>
    </w:lvl>
    <w:lvl w:ilvl="6" w:tplc="240A000F" w:tentative="1">
      <w:start w:val="1"/>
      <w:numFmt w:val="decimal"/>
      <w:lvlText w:val="%7."/>
      <w:lvlJc w:val="left"/>
      <w:pPr>
        <w:ind w:left="4902" w:hanging="360"/>
      </w:pPr>
    </w:lvl>
    <w:lvl w:ilvl="7" w:tplc="240A0019" w:tentative="1">
      <w:start w:val="1"/>
      <w:numFmt w:val="lowerLetter"/>
      <w:lvlText w:val="%8."/>
      <w:lvlJc w:val="left"/>
      <w:pPr>
        <w:ind w:left="5622" w:hanging="360"/>
      </w:pPr>
    </w:lvl>
    <w:lvl w:ilvl="8" w:tplc="240A001B" w:tentative="1">
      <w:start w:val="1"/>
      <w:numFmt w:val="lowerRoman"/>
      <w:lvlText w:val="%9."/>
      <w:lvlJc w:val="right"/>
      <w:pPr>
        <w:ind w:left="6342" w:hanging="180"/>
      </w:pPr>
    </w:lvl>
  </w:abstractNum>
  <w:abstractNum w:abstractNumId="8" w15:restartNumberingAfterBreak="0">
    <w:nsid w:val="17E30E56"/>
    <w:multiLevelType w:val="hybridMultilevel"/>
    <w:tmpl w:val="2C54F9A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26246AB8"/>
    <w:multiLevelType w:val="hybridMultilevel"/>
    <w:tmpl w:val="D7D4744E"/>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2B6D2685"/>
    <w:multiLevelType w:val="hybridMultilevel"/>
    <w:tmpl w:val="A67A12BA"/>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32273B01"/>
    <w:multiLevelType w:val="hybridMultilevel"/>
    <w:tmpl w:val="FF261A1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33447F49"/>
    <w:multiLevelType w:val="multilevel"/>
    <w:tmpl w:val="B1686EDA"/>
    <w:lvl w:ilvl="0">
      <w:start w:val="4"/>
      <w:numFmt w:val="decimal"/>
      <w:lvlText w:val="%1."/>
      <w:lvlJc w:val="left"/>
      <w:pPr>
        <w:ind w:left="360" w:hanging="36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15:restartNumberingAfterBreak="0">
    <w:nsid w:val="337679E4"/>
    <w:multiLevelType w:val="hybridMultilevel"/>
    <w:tmpl w:val="EB14EB56"/>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34694CC0"/>
    <w:multiLevelType w:val="hybridMultilevel"/>
    <w:tmpl w:val="2E302B7E"/>
    <w:lvl w:ilvl="0" w:tplc="0D246130">
      <w:numFmt w:val="bullet"/>
      <w:lvlText w:val=""/>
      <w:lvlJc w:val="left"/>
      <w:pPr>
        <w:ind w:left="982" w:hanging="363"/>
      </w:pPr>
      <w:rPr>
        <w:rFonts w:ascii="Symbol" w:eastAsia="Symbol" w:hAnsi="Symbol" w:cs="Symbol" w:hint="default"/>
        <w:b w:val="0"/>
        <w:bCs w:val="0"/>
        <w:i w:val="0"/>
        <w:iCs w:val="0"/>
        <w:spacing w:val="0"/>
        <w:w w:val="100"/>
        <w:sz w:val="22"/>
        <w:szCs w:val="22"/>
        <w:lang w:val="es-ES" w:eastAsia="en-US" w:bidi="ar-SA"/>
      </w:rPr>
    </w:lvl>
    <w:lvl w:ilvl="1" w:tplc="FB36036C">
      <w:numFmt w:val="bullet"/>
      <w:lvlText w:val="•"/>
      <w:lvlJc w:val="left"/>
      <w:pPr>
        <w:ind w:left="1818" w:hanging="363"/>
      </w:pPr>
      <w:rPr>
        <w:rFonts w:hint="default"/>
        <w:lang w:val="es-ES" w:eastAsia="en-US" w:bidi="ar-SA"/>
      </w:rPr>
    </w:lvl>
    <w:lvl w:ilvl="2" w:tplc="9A4CD4D4">
      <w:numFmt w:val="bullet"/>
      <w:lvlText w:val="•"/>
      <w:lvlJc w:val="left"/>
      <w:pPr>
        <w:ind w:left="2656" w:hanging="363"/>
      </w:pPr>
      <w:rPr>
        <w:rFonts w:hint="default"/>
        <w:lang w:val="es-ES" w:eastAsia="en-US" w:bidi="ar-SA"/>
      </w:rPr>
    </w:lvl>
    <w:lvl w:ilvl="3" w:tplc="6100C28A">
      <w:numFmt w:val="bullet"/>
      <w:lvlText w:val="•"/>
      <w:lvlJc w:val="left"/>
      <w:pPr>
        <w:ind w:left="3494" w:hanging="363"/>
      </w:pPr>
      <w:rPr>
        <w:rFonts w:hint="default"/>
        <w:lang w:val="es-ES" w:eastAsia="en-US" w:bidi="ar-SA"/>
      </w:rPr>
    </w:lvl>
    <w:lvl w:ilvl="4" w:tplc="E110DF1C">
      <w:numFmt w:val="bullet"/>
      <w:lvlText w:val="•"/>
      <w:lvlJc w:val="left"/>
      <w:pPr>
        <w:ind w:left="4332" w:hanging="363"/>
      </w:pPr>
      <w:rPr>
        <w:rFonts w:hint="default"/>
        <w:lang w:val="es-ES" w:eastAsia="en-US" w:bidi="ar-SA"/>
      </w:rPr>
    </w:lvl>
    <w:lvl w:ilvl="5" w:tplc="EDCC2E56">
      <w:numFmt w:val="bullet"/>
      <w:lvlText w:val="•"/>
      <w:lvlJc w:val="left"/>
      <w:pPr>
        <w:ind w:left="5170" w:hanging="363"/>
      </w:pPr>
      <w:rPr>
        <w:rFonts w:hint="default"/>
        <w:lang w:val="es-ES" w:eastAsia="en-US" w:bidi="ar-SA"/>
      </w:rPr>
    </w:lvl>
    <w:lvl w:ilvl="6" w:tplc="16425102">
      <w:numFmt w:val="bullet"/>
      <w:lvlText w:val="•"/>
      <w:lvlJc w:val="left"/>
      <w:pPr>
        <w:ind w:left="6008" w:hanging="363"/>
      </w:pPr>
      <w:rPr>
        <w:rFonts w:hint="default"/>
        <w:lang w:val="es-ES" w:eastAsia="en-US" w:bidi="ar-SA"/>
      </w:rPr>
    </w:lvl>
    <w:lvl w:ilvl="7" w:tplc="2744D7D4">
      <w:numFmt w:val="bullet"/>
      <w:lvlText w:val="•"/>
      <w:lvlJc w:val="left"/>
      <w:pPr>
        <w:ind w:left="6846" w:hanging="363"/>
      </w:pPr>
      <w:rPr>
        <w:rFonts w:hint="default"/>
        <w:lang w:val="es-ES" w:eastAsia="en-US" w:bidi="ar-SA"/>
      </w:rPr>
    </w:lvl>
    <w:lvl w:ilvl="8" w:tplc="7F960E9C">
      <w:numFmt w:val="bullet"/>
      <w:lvlText w:val="•"/>
      <w:lvlJc w:val="left"/>
      <w:pPr>
        <w:ind w:left="7684" w:hanging="363"/>
      </w:pPr>
      <w:rPr>
        <w:rFonts w:hint="default"/>
        <w:lang w:val="es-ES" w:eastAsia="en-US" w:bidi="ar-SA"/>
      </w:rPr>
    </w:lvl>
  </w:abstractNum>
  <w:abstractNum w:abstractNumId="15" w15:restartNumberingAfterBreak="0">
    <w:nsid w:val="3E575489"/>
    <w:multiLevelType w:val="multilevel"/>
    <w:tmpl w:val="204EA13E"/>
    <w:lvl w:ilvl="0">
      <w:start w:val="1"/>
      <w:numFmt w:val="decimal"/>
      <w:lvlText w:val="%1."/>
      <w:lvlJc w:val="left"/>
      <w:pPr>
        <w:ind w:left="360" w:hanging="360"/>
      </w:pPr>
      <w:rPr>
        <w:rFonts w:hint="default"/>
        <w:b/>
        <w:bCs/>
      </w:rPr>
    </w:lvl>
    <w:lvl w:ilvl="1">
      <w:start w:val="1"/>
      <w:numFmt w:val="decimal"/>
      <w:lvlText w:val="%1.%2."/>
      <w:lvlJc w:val="left"/>
      <w:pPr>
        <w:ind w:left="792" w:hanging="432"/>
      </w:pPr>
      <w:rPr>
        <w:rFonts w:hint="default"/>
        <w:b/>
        <w:bCs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40A12C8A"/>
    <w:multiLevelType w:val="hybridMultilevel"/>
    <w:tmpl w:val="EC00413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433E6B73"/>
    <w:multiLevelType w:val="hybridMultilevel"/>
    <w:tmpl w:val="9B381D8C"/>
    <w:lvl w:ilvl="0" w:tplc="240A0019">
      <w:start w:val="1"/>
      <w:numFmt w:val="lowerLetter"/>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48523092"/>
    <w:multiLevelType w:val="hybridMultilevel"/>
    <w:tmpl w:val="1B0A9968"/>
    <w:lvl w:ilvl="0" w:tplc="240A000B">
      <w:start w:val="1"/>
      <w:numFmt w:val="bullet"/>
      <w:lvlText w:val=""/>
      <w:lvlJc w:val="left"/>
      <w:pPr>
        <w:ind w:left="720" w:hanging="360"/>
      </w:pPr>
      <w:rPr>
        <w:rFonts w:ascii="Wingdings" w:hAnsi="Wingdings"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19" w15:restartNumberingAfterBreak="0">
    <w:nsid w:val="4D4F211C"/>
    <w:multiLevelType w:val="hybridMultilevel"/>
    <w:tmpl w:val="E710CE24"/>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20" w15:restartNumberingAfterBreak="0">
    <w:nsid w:val="4E3809EB"/>
    <w:multiLevelType w:val="hybridMultilevel"/>
    <w:tmpl w:val="EBA6E812"/>
    <w:lvl w:ilvl="0" w:tplc="7B32CEE0">
      <w:start w:val="1"/>
      <w:numFmt w:val="lowerLetter"/>
      <w:lvlText w:val="%1."/>
      <w:lvlJc w:val="left"/>
      <w:pPr>
        <w:ind w:left="720" w:hanging="360"/>
      </w:pPr>
      <w:rPr>
        <w:rFonts w:eastAsia="Batang" w:hint="default"/>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15:restartNumberingAfterBreak="0">
    <w:nsid w:val="50A80795"/>
    <w:multiLevelType w:val="multilevel"/>
    <w:tmpl w:val="1E8AF542"/>
    <w:lvl w:ilvl="0">
      <w:start w:val="3"/>
      <w:numFmt w:val="bullet"/>
      <w:lvlText w:val="-"/>
      <w:lvlJc w:val="left"/>
      <w:pPr>
        <w:ind w:left="720" w:hanging="360"/>
      </w:pPr>
      <w:rPr>
        <w:rFonts w:ascii="Garamond" w:eastAsia="Garamond" w:hAnsi="Garamond" w:cs="Garamond"/>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pStyle w:val="Estilo3"/>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58D3600F"/>
    <w:multiLevelType w:val="hybridMultilevel"/>
    <w:tmpl w:val="D24EA3B2"/>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59DD442F"/>
    <w:multiLevelType w:val="hybridMultilevel"/>
    <w:tmpl w:val="1584ADB8"/>
    <w:lvl w:ilvl="0" w:tplc="240A0011">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5BE80E07"/>
    <w:multiLevelType w:val="hybridMultilevel"/>
    <w:tmpl w:val="BF082136"/>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15:restartNumberingAfterBreak="0">
    <w:nsid w:val="6C6237E3"/>
    <w:multiLevelType w:val="hybridMultilevel"/>
    <w:tmpl w:val="56E89AA2"/>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 w15:restartNumberingAfterBreak="0">
    <w:nsid w:val="6CB5259D"/>
    <w:multiLevelType w:val="hybridMultilevel"/>
    <w:tmpl w:val="18A26F30"/>
    <w:lvl w:ilvl="0" w:tplc="2116C136">
      <w:start w:val="1"/>
      <w:numFmt w:val="upperLetter"/>
      <w:pStyle w:val="Titulo"/>
      <w:lvlText w:val="%1."/>
      <w:lvlJc w:val="left"/>
      <w:pPr>
        <w:ind w:left="1070" w:hanging="71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7" w15:restartNumberingAfterBreak="0">
    <w:nsid w:val="6F957289"/>
    <w:multiLevelType w:val="hybridMultilevel"/>
    <w:tmpl w:val="8EBEB208"/>
    <w:lvl w:ilvl="0" w:tplc="144AA3DA">
      <w:numFmt w:val="bullet"/>
      <w:lvlText w:val="-"/>
      <w:lvlJc w:val="left"/>
      <w:pPr>
        <w:ind w:left="720" w:hanging="360"/>
      </w:pPr>
      <w:rPr>
        <w:rFonts w:ascii="Arial Narrow" w:eastAsia="Times New Roman" w:hAnsi="Arial Narrow"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8" w15:restartNumberingAfterBreak="0">
    <w:nsid w:val="74D7385F"/>
    <w:multiLevelType w:val="hybridMultilevel"/>
    <w:tmpl w:val="EBC47D46"/>
    <w:lvl w:ilvl="0" w:tplc="5672D914">
      <w:start w:val="1"/>
      <w:numFmt w:val="lowerLetter"/>
      <w:lvlText w:val="%1."/>
      <w:lvlJc w:val="left"/>
      <w:pPr>
        <w:ind w:left="720" w:hanging="360"/>
      </w:pPr>
      <w:rPr>
        <w:rFonts w:hint="default"/>
        <w:b/>
        <w:vertAlign w:val="baseline"/>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9" w15:restartNumberingAfterBreak="0">
    <w:nsid w:val="7F106BCF"/>
    <w:multiLevelType w:val="hybridMultilevel"/>
    <w:tmpl w:val="89BA487E"/>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num w:numId="1" w16cid:durableId="1025712595">
    <w:abstractNumId w:val="14"/>
  </w:num>
  <w:num w:numId="2" w16cid:durableId="1711832259">
    <w:abstractNumId w:val="15"/>
  </w:num>
  <w:num w:numId="3" w16cid:durableId="160703719">
    <w:abstractNumId w:val="26"/>
  </w:num>
  <w:num w:numId="4" w16cid:durableId="96295791">
    <w:abstractNumId w:val="1"/>
  </w:num>
  <w:num w:numId="5" w16cid:durableId="911815063">
    <w:abstractNumId w:val="2"/>
  </w:num>
  <w:num w:numId="6" w16cid:durableId="466289367">
    <w:abstractNumId w:val="4"/>
  </w:num>
  <w:num w:numId="7" w16cid:durableId="2112968967">
    <w:abstractNumId w:val="28"/>
  </w:num>
  <w:num w:numId="8" w16cid:durableId="397365025">
    <w:abstractNumId w:val="10"/>
  </w:num>
  <w:num w:numId="9" w16cid:durableId="992833953">
    <w:abstractNumId w:val="24"/>
  </w:num>
  <w:num w:numId="10" w16cid:durableId="1617057931">
    <w:abstractNumId w:val="25"/>
  </w:num>
  <w:num w:numId="11" w16cid:durableId="1731078798">
    <w:abstractNumId w:val="13"/>
  </w:num>
  <w:num w:numId="12" w16cid:durableId="852377459">
    <w:abstractNumId w:val="9"/>
  </w:num>
  <w:num w:numId="13" w16cid:durableId="1825078618">
    <w:abstractNumId w:val="7"/>
  </w:num>
  <w:num w:numId="14" w16cid:durableId="1852404507">
    <w:abstractNumId w:val="21"/>
  </w:num>
  <w:num w:numId="15" w16cid:durableId="831528726">
    <w:abstractNumId w:val="27"/>
  </w:num>
  <w:num w:numId="16" w16cid:durableId="359747967">
    <w:abstractNumId w:val="22"/>
  </w:num>
  <w:num w:numId="17" w16cid:durableId="1174609183">
    <w:abstractNumId w:val="3"/>
  </w:num>
  <w:num w:numId="18" w16cid:durableId="2100832412">
    <w:abstractNumId w:val="11"/>
  </w:num>
  <w:num w:numId="19" w16cid:durableId="124934356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156411360">
    <w:abstractNumId w:val="20"/>
  </w:num>
  <w:num w:numId="21" w16cid:durableId="1253248177">
    <w:abstractNumId w:val="16"/>
  </w:num>
  <w:num w:numId="22" w16cid:durableId="2009016503">
    <w:abstractNumId w:val="12"/>
  </w:num>
  <w:num w:numId="23" w16cid:durableId="640884965">
    <w:abstractNumId w:val="8"/>
  </w:num>
  <w:num w:numId="24" w16cid:durableId="1797791552">
    <w:abstractNumId w:val="5"/>
  </w:num>
  <w:num w:numId="25" w16cid:durableId="1890991961">
    <w:abstractNumId w:val="17"/>
  </w:num>
  <w:num w:numId="26" w16cid:durableId="378213878">
    <w:abstractNumId w:val="6"/>
  </w:num>
  <w:num w:numId="27" w16cid:durableId="1145973279">
    <w:abstractNumId w:val="19"/>
  </w:num>
  <w:num w:numId="28" w16cid:durableId="1479222711">
    <w:abstractNumId w:val="29"/>
  </w:num>
  <w:num w:numId="29" w16cid:durableId="877855363">
    <w:abstractNumId w:val="18"/>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3629C"/>
    <w:rsid w:val="00001438"/>
    <w:rsid w:val="000061ED"/>
    <w:rsid w:val="00010FDC"/>
    <w:rsid w:val="000113B8"/>
    <w:rsid w:val="00014510"/>
    <w:rsid w:val="00014C64"/>
    <w:rsid w:val="0001549A"/>
    <w:rsid w:val="00021476"/>
    <w:rsid w:val="00023D9F"/>
    <w:rsid w:val="00026ACD"/>
    <w:rsid w:val="00034F7D"/>
    <w:rsid w:val="000368D2"/>
    <w:rsid w:val="00043337"/>
    <w:rsid w:val="00044393"/>
    <w:rsid w:val="000477E6"/>
    <w:rsid w:val="0005287D"/>
    <w:rsid w:val="00052A03"/>
    <w:rsid w:val="00052FFE"/>
    <w:rsid w:val="00056CFC"/>
    <w:rsid w:val="00056FCD"/>
    <w:rsid w:val="00061047"/>
    <w:rsid w:val="00067F92"/>
    <w:rsid w:val="000768A0"/>
    <w:rsid w:val="0007695C"/>
    <w:rsid w:val="00084D1D"/>
    <w:rsid w:val="000853B2"/>
    <w:rsid w:val="00091409"/>
    <w:rsid w:val="00093A49"/>
    <w:rsid w:val="00093DA4"/>
    <w:rsid w:val="00093E2A"/>
    <w:rsid w:val="000966FB"/>
    <w:rsid w:val="000A2CD5"/>
    <w:rsid w:val="000A54DB"/>
    <w:rsid w:val="000A669C"/>
    <w:rsid w:val="000B13AD"/>
    <w:rsid w:val="000B421E"/>
    <w:rsid w:val="000B4B0C"/>
    <w:rsid w:val="000B50FF"/>
    <w:rsid w:val="000B5DA4"/>
    <w:rsid w:val="000B7259"/>
    <w:rsid w:val="000C17C7"/>
    <w:rsid w:val="000C3235"/>
    <w:rsid w:val="000C3B03"/>
    <w:rsid w:val="000D0BA9"/>
    <w:rsid w:val="000D24D9"/>
    <w:rsid w:val="000D291B"/>
    <w:rsid w:val="000E33BA"/>
    <w:rsid w:val="000E3481"/>
    <w:rsid w:val="000E7EE5"/>
    <w:rsid w:val="000F030C"/>
    <w:rsid w:val="000F6F5C"/>
    <w:rsid w:val="000F7BED"/>
    <w:rsid w:val="000F7E27"/>
    <w:rsid w:val="00100C9A"/>
    <w:rsid w:val="00101D59"/>
    <w:rsid w:val="00102235"/>
    <w:rsid w:val="00103D64"/>
    <w:rsid w:val="001062B2"/>
    <w:rsid w:val="0010692A"/>
    <w:rsid w:val="001111F3"/>
    <w:rsid w:val="00113578"/>
    <w:rsid w:val="00113F2F"/>
    <w:rsid w:val="00113F58"/>
    <w:rsid w:val="00113F93"/>
    <w:rsid w:val="001148EE"/>
    <w:rsid w:val="0012630F"/>
    <w:rsid w:val="00127565"/>
    <w:rsid w:val="00130FCF"/>
    <w:rsid w:val="00131976"/>
    <w:rsid w:val="001338C8"/>
    <w:rsid w:val="0013488A"/>
    <w:rsid w:val="00136163"/>
    <w:rsid w:val="0013648F"/>
    <w:rsid w:val="00136E13"/>
    <w:rsid w:val="001435F8"/>
    <w:rsid w:val="00144B33"/>
    <w:rsid w:val="00151495"/>
    <w:rsid w:val="00161072"/>
    <w:rsid w:val="00163337"/>
    <w:rsid w:val="001652C7"/>
    <w:rsid w:val="001668B4"/>
    <w:rsid w:val="0017067F"/>
    <w:rsid w:val="001709D5"/>
    <w:rsid w:val="001766D9"/>
    <w:rsid w:val="00185767"/>
    <w:rsid w:val="00186549"/>
    <w:rsid w:val="00191CE5"/>
    <w:rsid w:val="00192FCB"/>
    <w:rsid w:val="00197222"/>
    <w:rsid w:val="00197F42"/>
    <w:rsid w:val="001A1C12"/>
    <w:rsid w:val="001A5105"/>
    <w:rsid w:val="001A61F4"/>
    <w:rsid w:val="001B2435"/>
    <w:rsid w:val="001C605C"/>
    <w:rsid w:val="001C656D"/>
    <w:rsid w:val="001D111F"/>
    <w:rsid w:val="001D75FA"/>
    <w:rsid w:val="001E1633"/>
    <w:rsid w:val="001E4F1B"/>
    <w:rsid w:val="001E6E74"/>
    <w:rsid w:val="001F2F15"/>
    <w:rsid w:val="001F49C9"/>
    <w:rsid w:val="00204EB4"/>
    <w:rsid w:val="00215A84"/>
    <w:rsid w:val="00215C5D"/>
    <w:rsid w:val="00216EFE"/>
    <w:rsid w:val="00220276"/>
    <w:rsid w:val="00225525"/>
    <w:rsid w:val="0022715F"/>
    <w:rsid w:val="00230DCC"/>
    <w:rsid w:val="002315AF"/>
    <w:rsid w:val="00234C29"/>
    <w:rsid w:val="00236FCA"/>
    <w:rsid w:val="0024022F"/>
    <w:rsid w:val="002462D8"/>
    <w:rsid w:val="00246BBD"/>
    <w:rsid w:val="00247F53"/>
    <w:rsid w:val="002535C5"/>
    <w:rsid w:val="00263916"/>
    <w:rsid w:val="00263D80"/>
    <w:rsid w:val="00272DFA"/>
    <w:rsid w:val="002827F7"/>
    <w:rsid w:val="00283A1B"/>
    <w:rsid w:val="00292A4C"/>
    <w:rsid w:val="002A0503"/>
    <w:rsid w:val="002A1AC5"/>
    <w:rsid w:val="002C248E"/>
    <w:rsid w:val="002C54D7"/>
    <w:rsid w:val="002C5D0B"/>
    <w:rsid w:val="002D348C"/>
    <w:rsid w:val="002D5424"/>
    <w:rsid w:val="002D6843"/>
    <w:rsid w:val="002E0B26"/>
    <w:rsid w:val="002E12B8"/>
    <w:rsid w:val="002E20E3"/>
    <w:rsid w:val="002E33DC"/>
    <w:rsid w:val="002E38FB"/>
    <w:rsid w:val="002E3F97"/>
    <w:rsid w:val="002F1F36"/>
    <w:rsid w:val="002F5A75"/>
    <w:rsid w:val="003026A5"/>
    <w:rsid w:val="003049E6"/>
    <w:rsid w:val="0030521F"/>
    <w:rsid w:val="0030777B"/>
    <w:rsid w:val="00310C37"/>
    <w:rsid w:val="00316714"/>
    <w:rsid w:val="00334DE9"/>
    <w:rsid w:val="00344F7C"/>
    <w:rsid w:val="003516A3"/>
    <w:rsid w:val="00353EB3"/>
    <w:rsid w:val="00357704"/>
    <w:rsid w:val="00360D68"/>
    <w:rsid w:val="00361C3A"/>
    <w:rsid w:val="00373296"/>
    <w:rsid w:val="00382A55"/>
    <w:rsid w:val="003841D3"/>
    <w:rsid w:val="00385864"/>
    <w:rsid w:val="00387C86"/>
    <w:rsid w:val="00391058"/>
    <w:rsid w:val="003921EF"/>
    <w:rsid w:val="003A2812"/>
    <w:rsid w:val="003A4774"/>
    <w:rsid w:val="003A4B1F"/>
    <w:rsid w:val="003A6862"/>
    <w:rsid w:val="003B5FC3"/>
    <w:rsid w:val="003B76F7"/>
    <w:rsid w:val="003C1440"/>
    <w:rsid w:val="003C55AE"/>
    <w:rsid w:val="003C6A88"/>
    <w:rsid w:val="003C6B5E"/>
    <w:rsid w:val="003C6B75"/>
    <w:rsid w:val="003C7AED"/>
    <w:rsid w:val="003D465C"/>
    <w:rsid w:val="003D4AAA"/>
    <w:rsid w:val="003D533C"/>
    <w:rsid w:val="003E0A4F"/>
    <w:rsid w:val="003E1881"/>
    <w:rsid w:val="003E2E85"/>
    <w:rsid w:val="003E3EAB"/>
    <w:rsid w:val="003E7F3C"/>
    <w:rsid w:val="003E7F6B"/>
    <w:rsid w:val="003F2D6B"/>
    <w:rsid w:val="003F6051"/>
    <w:rsid w:val="00400613"/>
    <w:rsid w:val="004041AB"/>
    <w:rsid w:val="00415E8B"/>
    <w:rsid w:val="004200F7"/>
    <w:rsid w:val="0042195B"/>
    <w:rsid w:val="00423523"/>
    <w:rsid w:val="00434714"/>
    <w:rsid w:val="00436435"/>
    <w:rsid w:val="0043661F"/>
    <w:rsid w:val="00437E71"/>
    <w:rsid w:val="004424CE"/>
    <w:rsid w:val="004468BF"/>
    <w:rsid w:val="00447D3A"/>
    <w:rsid w:val="00452052"/>
    <w:rsid w:val="00463C72"/>
    <w:rsid w:val="00464F22"/>
    <w:rsid w:val="0048378A"/>
    <w:rsid w:val="004915DF"/>
    <w:rsid w:val="00491A92"/>
    <w:rsid w:val="00492880"/>
    <w:rsid w:val="004B409E"/>
    <w:rsid w:val="004C1052"/>
    <w:rsid w:val="004C64A5"/>
    <w:rsid w:val="004C7930"/>
    <w:rsid w:val="004D173B"/>
    <w:rsid w:val="004E10CD"/>
    <w:rsid w:val="004E143D"/>
    <w:rsid w:val="004E1EE0"/>
    <w:rsid w:val="004E316D"/>
    <w:rsid w:val="004E6F9A"/>
    <w:rsid w:val="004E70A7"/>
    <w:rsid w:val="004F2BB5"/>
    <w:rsid w:val="004F5681"/>
    <w:rsid w:val="004F78E5"/>
    <w:rsid w:val="004F7BE7"/>
    <w:rsid w:val="00501260"/>
    <w:rsid w:val="005023A7"/>
    <w:rsid w:val="00502818"/>
    <w:rsid w:val="0051245F"/>
    <w:rsid w:val="00513A9D"/>
    <w:rsid w:val="00516BDB"/>
    <w:rsid w:val="005242B9"/>
    <w:rsid w:val="0052580B"/>
    <w:rsid w:val="00525EC3"/>
    <w:rsid w:val="00533D0B"/>
    <w:rsid w:val="00536B65"/>
    <w:rsid w:val="00540238"/>
    <w:rsid w:val="00541827"/>
    <w:rsid w:val="00541D59"/>
    <w:rsid w:val="005439E1"/>
    <w:rsid w:val="00556316"/>
    <w:rsid w:val="00562204"/>
    <w:rsid w:val="0056458E"/>
    <w:rsid w:val="00570098"/>
    <w:rsid w:val="00571BAF"/>
    <w:rsid w:val="00575218"/>
    <w:rsid w:val="00576370"/>
    <w:rsid w:val="005774A1"/>
    <w:rsid w:val="00581B59"/>
    <w:rsid w:val="00583947"/>
    <w:rsid w:val="00583AF7"/>
    <w:rsid w:val="00593130"/>
    <w:rsid w:val="00596897"/>
    <w:rsid w:val="005A4368"/>
    <w:rsid w:val="005A4819"/>
    <w:rsid w:val="005B323F"/>
    <w:rsid w:val="005B3687"/>
    <w:rsid w:val="005C01D5"/>
    <w:rsid w:val="005C0FC2"/>
    <w:rsid w:val="005C1998"/>
    <w:rsid w:val="005D2AD3"/>
    <w:rsid w:val="005D6B28"/>
    <w:rsid w:val="005D73A8"/>
    <w:rsid w:val="005D7891"/>
    <w:rsid w:val="005E16D3"/>
    <w:rsid w:val="005E1744"/>
    <w:rsid w:val="005E602A"/>
    <w:rsid w:val="005E6F63"/>
    <w:rsid w:val="005E7A7D"/>
    <w:rsid w:val="005E7E3D"/>
    <w:rsid w:val="005F55FF"/>
    <w:rsid w:val="006000A5"/>
    <w:rsid w:val="006007E8"/>
    <w:rsid w:val="00600988"/>
    <w:rsid w:val="00603793"/>
    <w:rsid w:val="00604C7A"/>
    <w:rsid w:val="006105B2"/>
    <w:rsid w:val="006118E5"/>
    <w:rsid w:val="00624021"/>
    <w:rsid w:val="006313C9"/>
    <w:rsid w:val="00632CDD"/>
    <w:rsid w:val="00646491"/>
    <w:rsid w:val="00647147"/>
    <w:rsid w:val="00650C3E"/>
    <w:rsid w:val="006520F6"/>
    <w:rsid w:val="00653656"/>
    <w:rsid w:val="006559C9"/>
    <w:rsid w:val="0066040D"/>
    <w:rsid w:val="00665A68"/>
    <w:rsid w:val="00666D15"/>
    <w:rsid w:val="00672E6E"/>
    <w:rsid w:val="00674C64"/>
    <w:rsid w:val="00674DBE"/>
    <w:rsid w:val="006768AA"/>
    <w:rsid w:val="00682D3F"/>
    <w:rsid w:val="00687A3D"/>
    <w:rsid w:val="00691046"/>
    <w:rsid w:val="00693511"/>
    <w:rsid w:val="006A4AF5"/>
    <w:rsid w:val="006A4D4B"/>
    <w:rsid w:val="006A584D"/>
    <w:rsid w:val="006B01BB"/>
    <w:rsid w:val="006B4A51"/>
    <w:rsid w:val="006B6B80"/>
    <w:rsid w:val="006C0557"/>
    <w:rsid w:val="006C136E"/>
    <w:rsid w:val="006C41F6"/>
    <w:rsid w:val="006C4851"/>
    <w:rsid w:val="006C620C"/>
    <w:rsid w:val="006C69BA"/>
    <w:rsid w:val="006C6D4B"/>
    <w:rsid w:val="006C6DDA"/>
    <w:rsid w:val="006C7127"/>
    <w:rsid w:val="006D1503"/>
    <w:rsid w:val="006D15BE"/>
    <w:rsid w:val="006D367F"/>
    <w:rsid w:val="006D5C44"/>
    <w:rsid w:val="006D6F33"/>
    <w:rsid w:val="006E0BA1"/>
    <w:rsid w:val="006E0CEA"/>
    <w:rsid w:val="006E1CE2"/>
    <w:rsid w:val="006E55B4"/>
    <w:rsid w:val="006E728E"/>
    <w:rsid w:val="006F0CD2"/>
    <w:rsid w:val="006F2D86"/>
    <w:rsid w:val="00702C32"/>
    <w:rsid w:val="00702EBD"/>
    <w:rsid w:val="00704A15"/>
    <w:rsid w:val="00707B11"/>
    <w:rsid w:val="00710D8E"/>
    <w:rsid w:val="00713853"/>
    <w:rsid w:val="00715816"/>
    <w:rsid w:val="00721297"/>
    <w:rsid w:val="007214BC"/>
    <w:rsid w:val="00725DF5"/>
    <w:rsid w:val="00727F62"/>
    <w:rsid w:val="0073440A"/>
    <w:rsid w:val="007404C5"/>
    <w:rsid w:val="007418F8"/>
    <w:rsid w:val="00751F2E"/>
    <w:rsid w:val="00753560"/>
    <w:rsid w:val="007577D4"/>
    <w:rsid w:val="0076052D"/>
    <w:rsid w:val="00763CA9"/>
    <w:rsid w:val="00772FE4"/>
    <w:rsid w:val="00773418"/>
    <w:rsid w:val="00775B96"/>
    <w:rsid w:val="00776F12"/>
    <w:rsid w:val="0078020A"/>
    <w:rsid w:val="00780B74"/>
    <w:rsid w:val="00782B8C"/>
    <w:rsid w:val="00783369"/>
    <w:rsid w:val="00784146"/>
    <w:rsid w:val="00791564"/>
    <w:rsid w:val="007921C4"/>
    <w:rsid w:val="00793F8C"/>
    <w:rsid w:val="007947F4"/>
    <w:rsid w:val="00795306"/>
    <w:rsid w:val="007A2433"/>
    <w:rsid w:val="007A28CD"/>
    <w:rsid w:val="007A32B0"/>
    <w:rsid w:val="007A50BE"/>
    <w:rsid w:val="007B2084"/>
    <w:rsid w:val="007B268E"/>
    <w:rsid w:val="007B29CC"/>
    <w:rsid w:val="007C02D0"/>
    <w:rsid w:val="007C337D"/>
    <w:rsid w:val="007C3A4B"/>
    <w:rsid w:val="007D408F"/>
    <w:rsid w:val="007D4503"/>
    <w:rsid w:val="007D5DB7"/>
    <w:rsid w:val="007E2109"/>
    <w:rsid w:val="007E2DB3"/>
    <w:rsid w:val="007F25B7"/>
    <w:rsid w:val="007F4591"/>
    <w:rsid w:val="007F4DD8"/>
    <w:rsid w:val="007F73B9"/>
    <w:rsid w:val="0080501A"/>
    <w:rsid w:val="008053DC"/>
    <w:rsid w:val="00807BED"/>
    <w:rsid w:val="0081319E"/>
    <w:rsid w:val="008146DE"/>
    <w:rsid w:val="008164B5"/>
    <w:rsid w:val="00822A8E"/>
    <w:rsid w:val="008246D4"/>
    <w:rsid w:val="008253DC"/>
    <w:rsid w:val="00825982"/>
    <w:rsid w:val="00827B63"/>
    <w:rsid w:val="00833CF8"/>
    <w:rsid w:val="00835E0E"/>
    <w:rsid w:val="00835F41"/>
    <w:rsid w:val="00844FCB"/>
    <w:rsid w:val="00845A87"/>
    <w:rsid w:val="00846B69"/>
    <w:rsid w:val="00847974"/>
    <w:rsid w:val="00856616"/>
    <w:rsid w:val="00861D85"/>
    <w:rsid w:val="00864455"/>
    <w:rsid w:val="00864FB4"/>
    <w:rsid w:val="00866549"/>
    <w:rsid w:val="00866A35"/>
    <w:rsid w:val="00874F0F"/>
    <w:rsid w:val="00881A1D"/>
    <w:rsid w:val="00881D9D"/>
    <w:rsid w:val="00883D02"/>
    <w:rsid w:val="0089587C"/>
    <w:rsid w:val="00896CB7"/>
    <w:rsid w:val="008A42C5"/>
    <w:rsid w:val="008A47ED"/>
    <w:rsid w:val="008B3067"/>
    <w:rsid w:val="008B4642"/>
    <w:rsid w:val="008B4B5C"/>
    <w:rsid w:val="008C6565"/>
    <w:rsid w:val="008C7C13"/>
    <w:rsid w:val="008C7F83"/>
    <w:rsid w:val="008D0A32"/>
    <w:rsid w:val="008D4D18"/>
    <w:rsid w:val="008E1094"/>
    <w:rsid w:val="008E2259"/>
    <w:rsid w:val="008E5284"/>
    <w:rsid w:val="008E5E69"/>
    <w:rsid w:val="008E738D"/>
    <w:rsid w:val="008F3886"/>
    <w:rsid w:val="008F3F36"/>
    <w:rsid w:val="008F79C3"/>
    <w:rsid w:val="00901E8E"/>
    <w:rsid w:val="0090695F"/>
    <w:rsid w:val="00910EF3"/>
    <w:rsid w:val="0091579E"/>
    <w:rsid w:val="00916436"/>
    <w:rsid w:val="009177F1"/>
    <w:rsid w:val="00927D42"/>
    <w:rsid w:val="00933694"/>
    <w:rsid w:val="0093478D"/>
    <w:rsid w:val="009368B8"/>
    <w:rsid w:val="00937338"/>
    <w:rsid w:val="009404D1"/>
    <w:rsid w:val="00940EFE"/>
    <w:rsid w:val="00944F62"/>
    <w:rsid w:val="00947834"/>
    <w:rsid w:val="00947BF0"/>
    <w:rsid w:val="00951200"/>
    <w:rsid w:val="00952FBE"/>
    <w:rsid w:val="00954804"/>
    <w:rsid w:val="00961209"/>
    <w:rsid w:val="00967362"/>
    <w:rsid w:val="00972898"/>
    <w:rsid w:val="00975F0C"/>
    <w:rsid w:val="00980786"/>
    <w:rsid w:val="00982835"/>
    <w:rsid w:val="00990CE0"/>
    <w:rsid w:val="009941E3"/>
    <w:rsid w:val="00994D39"/>
    <w:rsid w:val="00996E69"/>
    <w:rsid w:val="009A03FC"/>
    <w:rsid w:val="009A19B6"/>
    <w:rsid w:val="009A35ED"/>
    <w:rsid w:val="009A7F8F"/>
    <w:rsid w:val="009B0C0E"/>
    <w:rsid w:val="009B2FC3"/>
    <w:rsid w:val="009B6028"/>
    <w:rsid w:val="009B6812"/>
    <w:rsid w:val="009C16D0"/>
    <w:rsid w:val="009C540E"/>
    <w:rsid w:val="009C60EB"/>
    <w:rsid w:val="009C64A6"/>
    <w:rsid w:val="009D46C5"/>
    <w:rsid w:val="009E0F5C"/>
    <w:rsid w:val="009E13DF"/>
    <w:rsid w:val="009F1EDB"/>
    <w:rsid w:val="009F2B77"/>
    <w:rsid w:val="009F4448"/>
    <w:rsid w:val="009F501F"/>
    <w:rsid w:val="009F66EB"/>
    <w:rsid w:val="009F6818"/>
    <w:rsid w:val="009F6D59"/>
    <w:rsid w:val="00A054EC"/>
    <w:rsid w:val="00A06743"/>
    <w:rsid w:val="00A10551"/>
    <w:rsid w:val="00A1750A"/>
    <w:rsid w:val="00A179FC"/>
    <w:rsid w:val="00A20CC3"/>
    <w:rsid w:val="00A250E7"/>
    <w:rsid w:val="00A2757E"/>
    <w:rsid w:val="00A33E24"/>
    <w:rsid w:val="00A41117"/>
    <w:rsid w:val="00A42B36"/>
    <w:rsid w:val="00A45CD3"/>
    <w:rsid w:val="00A502A1"/>
    <w:rsid w:val="00A50EEE"/>
    <w:rsid w:val="00A54369"/>
    <w:rsid w:val="00A56778"/>
    <w:rsid w:val="00A56B7A"/>
    <w:rsid w:val="00A63908"/>
    <w:rsid w:val="00A66F35"/>
    <w:rsid w:val="00A67008"/>
    <w:rsid w:val="00A67C28"/>
    <w:rsid w:val="00A7000E"/>
    <w:rsid w:val="00A7266A"/>
    <w:rsid w:val="00A74153"/>
    <w:rsid w:val="00A777E8"/>
    <w:rsid w:val="00A80DF7"/>
    <w:rsid w:val="00A83AE9"/>
    <w:rsid w:val="00A860C2"/>
    <w:rsid w:val="00A94DAF"/>
    <w:rsid w:val="00AA1031"/>
    <w:rsid w:val="00AA1E37"/>
    <w:rsid w:val="00AA46D2"/>
    <w:rsid w:val="00AB034C"/>
    <w:rsid w:val="00AB6D16"/>
    <w:rsid w:val="00AC2022"/>
    <w:rsid w:val="00AC52ED"/>
    <w:rsid w:val="00AD363C"/>
    <w:rsid w:val="00AD6460"/>
    <w:rsid w:val="00AE20DE"/>
    <w:rsid w:val="00AE2E18"/>
    <w:rsid w:val="00AE4323"/>
    <w:rsid w:val="00AE666D"/>
    <w:rsid w:val="00AF2C25"/>
    <w:rsid w:val="00B03397"/>
    <w:rsid w:val="00B04FB4"/>
    <w:rsid w:val="00B062CB"/>
    <w:rsid w:val="00B10C5D"/>
    <w:rsid w:val="00B11BB4"/>
    <w:rsid w:val="00B16A24"/>
    <w:rsid w:val="00B208D0"/>
    <w:rsid w:val="00B250C3"/>
    <w:rsid w:val="00B25BD0"/>
    <w:rsid w:val="00B26775"/>
    <w:rsid w:val="00B31130"/>
    <w:rsid w:val="00B33764"/>
    <w:rsid w:val="00B343BF"/>
    <w:rsid w:val="00B3629C"/>
    <w:rsid w:val="00B4215C"/>
    <w:rsid w:val="00B429C0"/>
    <w:rsid w:val="00B42F7F"/>
    <w:rsid w:val="00B52E37"/>
    <w:rsid w:val="00B61DFE"/>
    <w:rsid w:val="00B62580"/>
    <w:rsid w:val="00B671C3"/>
    <w:rsid w:val="00B806A0"/>
    <w:rsid w:val="00B85B44"/>
    <w:rsid w:val="00B93B4C"/>
    <w:rsid w:val="00B94F10"/>
    <w:rsid w:val="00B96BA1"/>
    <w:rsid w:val="00BA0AE1"/>
    <w:rsid w:val="00BA3311"/>
    <w:rsid w:val="00BB34D5"/>
    <w:rsid w:val="00BB4EA7"/>
    <w:rsid w:val="00BB76B9"/>
    <w:rsid w:val="00BC1B9F"/>
    <w:rsid w:val="00BC23E7"/>
    <w:rsid w:val="00BC5306"/>
    <w:rsid w:val="00BC5950"/>
    <w:rsid w:val="00BD30A7"/>
    <w:rsid w:val="00BD53C5"/>
    <w:rsid w:val="00BE6DC9"/>
    <w:rsid w:val="00BF01E2"/>
    <w:rsid w:val="00BF0F50"/>
    <w:rsid w:val="00BF344A"/>
    <w:rsid w:val="00BF7EE3"/>
    <w:rsid w:val="00C0220B"/>
    <w:rsid w:val="00C042F6"/>
    <w:rsid w:val="00C1107D"/>
    <w:rsid w:val="00C162CE"/>
    <w:rsid w:val="00C2082A"/>
    <w:rsid w:val="00C244E1"/>
    <w:rsid w:val="00C30CA9"/>
    <w:rsid w:val="00C34577"/>
    <w:rsid w:val="00C34AC1"/>
    <w:rsid w:val="00C3619D"/>
    <w:rsid w:val="00C36E43"/>
    <w:rsid w:val="00C37F14"/>
    <w:rsid w:val="00C40E7F"/>
    <w:rsid w:val="00C41ABC"/>
    <w:rsid w:val="00C524F2"/>
    <w:rsid w:val="00C54B99"/>
    <w:rsid w:val="00C557BA"/>
    <w:rsid w:val="00C62247"/>
    <w:rsid w:val="00C62EBF"/>
    <w:rsid w:val="00C633C2"/>
    <w:rsid w:val="00C7057E"/>
    <w:rsid w:val="00C71147"/>
    <w:rsid w:val="00C71A89"/>
    <w:rsid w:val="00C7402B"/>
    <w:rsid w:val="00C75C45"/>
    <w:rsid w:val="00C76A91"/>
    <w:rsid w:val="00C81070"/>
    <w:rsid w:val="00C821BA"/>
    <w:rsid w:val="00C8694B"/>
    <w:rsid w:val="00C90A07"/>
    <w:rsid w:val="00CA46D7"/>
    <w:rsid w:val="00CA7B32"/>
    <w:rsid w:val="00CB1B92"/>
    <w:rsid w:val="00CB26B0"/>
    <w:rsid w:val="00CB26C6"/>
    <w:rsid w:val="00CB5971"/>
    <w:rsid w:val="00CC038D"/>
    <w:rsid w:val="00CC29B8"/>
    <w:rsid w:val="00CC676F"/>
    <w:rsid w:val="00CF00C3"/>
    <w:rsid w:val="00CF11E3"/>
    <w:rsid w:val="00CF68A5"/>
    <w:rsid w:val="00CF7EB8"/>
    <w:rsid w:val="00D01541"/>
    <w:rsid w:val="00D023CB"/>
    <w:rsid w:val="00D03DFD"/>
    <w:rsid w:val="00D040C8"/>
    <w:rsid w:val="00D1747B"/>
    <w:rsid w:val="00D26C99"/>
    <w:rsid w:val="00D345FD"/>
    <w:rsid w:val="00D43F3D"/>
    <w:rsid w:val="00D50129"/>
    <w:rsid w:val="00D52591"/>
    <w:rsid w:val="00D5523A"/>
    <w:rsid w:val="00D55AEB"/>
    <w:rsid w:val="00D55BCE"/>
    <w:rsid w:val="00D5790B"/>
    <w:rsid w:val="00D64467"/>
    <w:rsid w:val="00D6522B"/>
    <w:rsid w:val="00D6793D"/>
    <w:rsid w:val="00D7070F"/>
    <w:rsid w:val="00D728BA"/>
    <w:rsid w:val="00D73F88"/>
    <w:rsid w:val="00D76F04"/>
    <w:rsid w:val="00D77A10"/>
    <w:rsid w:val="00DA4A0D"/>
    <w:rsid w:val="00DB1EFB"/>
    <w:rsid w:val="00DC22ED"/>
    <w:rsid w:val="00DC2852"/>
    <w:rsid w:val="00DD2B78"/>
    <w:rsid w:val="00DD2B81"/>
    <w:rsid w:val="00DD514F"/>
    <w:rsid w:val="00DD718C"/>
    <w:rsid w:val="00DE2CA4"/>
    <w:rsid w:val="00DE76C9"/>
    <w:rsid w:val="00DF04AB"/>
    <w:rsid w:val="00DF4197"/>
    <w:rsid w:val="00DF44D7"/>
    <w:rsid w:val="00DF49D3"/>
    <w:rsid w:val="00DF4F9E"/>
    <w:rsid w:val="00E035EC"/>
    <w:rsid w:val="00E05154"/>
    <w:rsid w:val="00E1191D"/>
    <w:rsid w:val="00E1558C"/>
    <w:rsid w:val="00E158B0"/>
    <w:rsid w:val="00E15D4E"/>
    <w:rsid w:val="00E15DE4"/>
    <w:rsid w:val="00E1657F"/>
    <w:rsid w:val="00E16E62"/>
    <w:rsid w:val="00E25028"/>
    <w:rsid w:val="00E30413"/>
    <w:rsid w:val="00E33449"/>
    <w:rsid w:val="00E35239"/>
    <w:rsid w:val="00E367A4"/>
    <w:rsid w:val="00E425F7"/>
    <w:rsid w:val="00E47DE7"/>
    <w:rsid w:val="00E51CA5"/>
    <w:rsid w:val="00E521C7"/>
    <w:rsid w:val="00E60C08"/>
    <w:rsid w:val="00E61408"/>
    <w:rsid w:val="00E62D80"/>
    <w:rsid w:val="00E62DEF"/>
    <w:rsid w:val="00E67659"/>
    <w:rsid w:val="00E70C40"/>
    <w:rsid w:val="00E74721"/>
    <w:rsid w:val="00E77DEC"/>
    <w:rsid w:val="00E84E45"/>
    <w:rsid w:val="00E8672C"/>
    <w:rsid w:val="00E90690"/>
    <w:rsid w:val="00E90A12"/>
    <w:rsid w:val="00E94A1C"/>
    <w:rsid w:val="00EA0046"/>
    <w:rsid w:val="00EA0C9B"/>
    <w:rsid w:val="00EA0E9E"/>
    <w:rsid w:val="00EA566C"/>
    <w:rsid w:val="00EA6EBD"/>
    <w:rsid w:val="00EB1D7D"/>
    <w:rsid w:val="00EB66A8"/>
    <w:rsid w:val="00EC16E8"/>
    <w:rsid w:val="00EC1DFD"/>
    <w:rsid w:val="00EC43CD"/>
    <w:rsid w:val="00EC559A"/>
    <w:rsid w:val="00EC7684"/>
    <w:rsid w:val="00EC7EAD"/>
    <w:rsid w:val="00ED1082"/>
    <w:rsid w:val="00ED11A5"/>
    <w:rsid w:val="00ED3DCC"/>
    <w:rsid w:val="00ED442C"/>
    <w:rsid w:val="00EE3810"/>
    <w:rsid w:val="00EF045C"/>
    <w:rsid w:val="00EF047E"/>
    <w:rsid w:val="00EF063A"/>
    <w:rsid w:val="00EF0A94"/>
    <w:rsid w:val="00F00D83"/>
    <w:rsid w:val="00F03A85"/>
    <w:rsid w:val="00F1003A"/>
    <w:rsid w:val="00F14D4C"/>
    <w:rsid w:val="00F1592B"/>
    <w:rsid w:val="00F302E2"/>
    <w:rsid w:val="00F312B4"/>
    <w:rsid w:val="00F33DDD"/>
    <w:rsid w:val="00F3603D"/>
    <w:rsid w:val="00F364FA"/>
    <w:rsid w:val="00F366D4"/>
    <w:rsid w:val="00F36DD5"/>
    <w:rsid w:val="00F3709E"/>
    <w:rsid w:val="00F37852"/>
    <w:rsid w:val="00F37F1E"/>
    <w:rsid w:val="00F408BA"/>
    <w:rsid w:val="00F4139D"/>
    <w:rsid w:val="00F46F3A"/>
    <w:rsid w:val="00F47091"/>
    <w:rsid w:val="00F47E35"/>
    <w:rsid w:val="00F52C44"/>
    <w:rsid w:val="00F53174"/>
    <w:rsid w:val="00F55B6F"/>
    <w:rsid w:val="00F62EFD"/>
    <w:rsid w:val="00F72588"/>
    <w:rsid w:val="00F739F3"/>
    <w:rsid w:val="00F73D02"/>
    <w:rsid w:val="00F76F87"/>
    <w:rsid w:val="00F7743C"/>
    <w:rsid w:val="00F87133"/>
    <w:rsid w:val="00F949C7"/>
    <w:rsid w:val="00F9642C"/>
    <w:rsid w:val="00F96871"/>
    <w:rsid w:val="00FA3DF5"/>
    <w:rsid w:val="00FA6D82"/>
    <w:rsid w:val="00FA7857"/>
    <w:rsid w:val="00FB0E08"/>
    <w:rsid w:val="00FB2EF9"/>
    <w:rsid w:val="00FB6C4D"/>
    <w:rsid w:val="00FB6D98"/>
    <w:rsid w:val="00FB7F1F"/>
    <w:rsid w:val="00FC2638"/>
    <w:rsid w:val="00FC5F06"/>
    <w:rsid w:val="00FC7E2A"/>
    <w:rsid w:val="00FD2811"/>
    <w:rsid w:val="00FD5A56"/>
    <w:rsid w:val="00FD5FA6"/>
    <w:rsid w:val="00FD76A2"/>
    <w:rsid w:val="00FE044F"/>
    <w:rsid w:val="00FE28A9"/>
    <w:rsid w:val="00FE7C7F"/>
    <w:rsid w:val="00FF0808"/>
    <w:rsid w:val="00FF19BB"/>
    <w:rsid w:val="00FF2BC1"/>
    <w:rsid w:val="00FF2E09"/>
    <w:rsid w:val="00FF3A79"/>
    <w:rsid w:val="00FF43A9"/>
    <w:rsid w:val="00FF5689"/>
    <w:rsid w:val="00FF69BF"/>
    <w:rsid w:val="00FF77B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D5557AD"/>
  <w15:docId w15:val="{63E43072-BB81-4D4E-BDB5-3025E61309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lang w:val="es-ES"/>
    </w:rPr>
  </w:style>
  <w:style w:type="paragraph" w:styleId="Ttulo1">
    <w:name w:val="heading 1"/>
    <w:basedOn w:val="Normal"/>
    <w:uiPriority w:val="9"/>
    <w:qFormat/>
    <w:pPr>
      <w:ind w:left="264"/>
      <w:jc w:val="both"/>
      <w:outlineLvl w:val="0"/>
    </w:pPr>
    <w:rPr>
      <w:b/>
      <w:bCs/>
    </w:rPr>
  </w:style>
  <w:style w:type="paragraph" w:styleId="Ttulo2">
    <w:name w:val="heading 2"/>
    <w:basedOn w:val="Normal"/>
    <w:link w:val="Ttulo2Car"/>
    <w:uiPriority w:val="9"/>
    <w:unhideWhenUsed/>
    <w:qFormat/>
    <w:pPr>
      <w:ind w:left="333" w:right="326"/>
      <w:jc w:val="center"/>
      <w:outlineLvl w:val="1"/>
    </w:pPr>
    <w:rPr>
      <w:b/>
      <w:bCs/>
    </w:rPr>
  </w:style>
  <w:style w:type="paragraph" w:styleId="Ttulo3">
    <w:name w:val="heading 3"/>
    <w:basedOn w:val="Normal"/>
    <w:next w:val="Normal"/>
    <w:link w:val="Ttulo3Car"/>
    <w:uiPriority w:val="9"/>
    <w:semiHidden/>
    <w:unhideWhenUsed/>
    <w:qFormat/>
    <w:rsid w:val="00E05154"/>
    <w:pPr>
      <w:keepNext/>
      <w:keepLines/>
      <w:spacing w:before="40"/>
      <w:outlineLvl w:val="2"/>
    </w:pPr>
    <w:rPr>
      <w:rFonts w:asciiTheme="majorHAnsi" w:eastAsiaTheme="majorEastAsia" w:hAnsiTheme="majorHAnsi" w:cstheme="majorBidi"/>
      <w:color w:val="243F60"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link w:val="TextoindependienteCar"/>
    <w:qFormat/>
  </w:style>
  <w:style w:type="paragraph" w:styleId="Prrafodelista">
    <w:name w:val="List Paragraph"/>
    <w:aliases w:val="HOJA,Bolita,Párrafo de lista4,BOLADEF,Párrafo de lista3,Párrafo de lista21,BOLA,Nivel 1 OS,Colorful List Accent 1,Colorful List - Accent 11,TITULO 2_CR,List1,LISTA,Párrafo de lista2,Ha,Resume Title,lp1,Viñeta 6,Fotografía,Bullet List,l"/>
    <w:basedOn w:val="Normal"/>
    <w:link w:val="PrrafodelistaCar"/>
    <w:uiPriority w:val="34"/>
    <w:qFormat/>
    <w:pPr>
      <w:spacing w:before="9"/>
      <w:ind w:left="981" w:hanging="360"/>
    </w:pPr>
  </w:style>
  <w:style w:type="paragraph" w:customStyle="1" w:styleId="TableParagraph">
    <w:name w:val="Table Paragraph"/>
    <w:basedOn w:val="Normal"/>
    <w:uiPriority w:val="1"/>
    <w:qFormat/>
  </w:style>
  <w:style w:type="paragraph" w:customStyle="1" w:styleId="Default">
    <w:name w:val="Default"/>
    <w:link w:val="DefaultCar"/>
    <w:qFormat/>
    <w:rsid w:val="000C3B03"/>
    <w:pPr>
      <w:widowControl/>
      <w:adjustRightInd w:val="0"/>
    </w:pPr>
    <w:rPr>
      <w:rFonts w:ascii="Arial" w:hAnsi="Arial" w:cs="Arial"/>
      <w:color w:val="000000"/>
      <w:sz w:val="24"/>
      <w:szCs w:val="24"/>
      <w:lang w:val="es-CO"/>
      <w14:ligatures w14:val="standardContextual"/>
    </w:rPr>
  </w:style>
  <w:style w:type="character" w:customStyle="1" w:styleId="DefaultCar">
    <w:name w:val="Default Car"/>
    <w:link w:val="Default"/>
    <w:qFormat/>
    <w:locked/>
    <w:rsid w:val="000C3B03"/>
    <w:rPr>
      <w:rFonts w:ascii="Arial" w:hAnsi="Arial" w:cs="Arial"/>
      <w:color w:val="000000"/>
      <w:sz w:val="24"/>
      <w:szCs w:val="24"/>
      <w:lang w:val="es-CO"/>
      <w14:ligatures w14:val="standardContextual"/>
    </w:rPr>
  </w:style>
  <w:style w:type="paragraph" w:customStyle="1" w:styleId="Standard">
    <w:name w:val="Standard"/>
    <w:link w:val="StandardCar"/>
    <w:qFormat/>
    <w:rsid w:val="0073440A"/>
    <w:pPr>
      <w:widowControl/>
      <w:suppressAutoHyphens/>
      <w:autoSpaceDE/>
      <w:textAlignment w:val="baseline"/>
    </w:pPr>
    <w:rPr>
      <w:rFonts w:ascii="Times New Roman" w:eastAsia="Times New Roman" w:hAnsi="Times New Roman" w:cs="Times New Roman"/>
      <w:kern w:val="3"/>
      <w:sz w:val="20"/>
      <w:szCs w:val="20"/>
      <w:lang w:val="es-CO" w:eastAsia="zh-CN"/>
    </w:rPr>
  </w:style>
  <w:style w:type="character" w:customStyle="1" w:styleId="StandardCar">
    <w:name w:val="Standard Car"/>
    <w:link w:val="Standard"/>
    <w:qFormat/>
    <w:locked/>
    <w:rsid w:val="0073440A"/>
    <w:rPr>
      <w:rFonts w:ascii="Times New Roman" w:eastAsia="Times New Roman" w:hAnsi="Times New Roman" w:cs="Times New Roman"/>
      <w:kern w:val="3"/>
      <w:sz w:val="20"/>
      <w:szCs w:val="20"/>
      <w:lang w:val="es-CO" w:eastAsia="zh-CN"/>
    </w:rPr>
  </w:style>
  <w:style w:type="paragraph" w:styleId="Textocomentario">
    <w:name w:val="annotation text"/>
    <w:basedOn w:val="Normal"/>
    <w:link w:val="TextocomentarioCar1"/>
    <w:uiPriority w:val="99"/>
    <w:qFormat/>
    <w:rsid w:val="00FC7E2A"/>
    <w:pPr>
      <w:widowControl/>
      <w:autoSpaceDE/>
      <w:autoSpaceDN/>
    </w:pPr>
    <w:rPr>
      <w:rFonts w:cs="Mangal"/>
      <w:sz w:val="20"/>
      <w:szCs w:val="18"/>
      <w:lang w:val="es-CO" w:eastAsia="es-CO"/>
    </w:rPr>
  </w:style>
  <w:style w:type="character" w:customStyle="1" w:styleId="TextocomentarioCar">
    <w:name w:val="Texto comentario Car"/>
    <w:basedOn w:val="Fuentedeprrafopredeter"/>
    <w:uiPriority w:val="99"/>
    <w:rsid w:val="00FC7E2A"/>
    <w:rPr>
      <w:rFonts w:ascii="Times New Roman" w:eastAsia="Times New Roman" w:hAnsi="Times New Roman" w:cs="Times New Roman"/>
      <w:sz w:val="20"/>
      <w:szCs w:val="20"/>
      <w:lang w:val="es-ES"/>
    </w:rPr>
  </w:style>
  <w:style w:type="character" w:customStyle="1" w:styleId="TextocomentarioCar1">
    <w:name w:val="Texto comentario Car1"/>
    <w:link w:val="Textocomentario"/>
    <w:uiPriority w:val="99"/>
    <w:rsid w:val="00FC7E2A"/>
    <w:rPr>
      <w:rFonts w:ascii="Times New Roman" w:eastAsia="Times New Roman" w:hAnsi="Times New Roman" w:cs="Mangal"/>
      <w:sz w:val="20"/>
      <w:szCs w:val="18"/>
      <w:lang w:val="es-CO" w:eastAsia="es-CO"/>
    </w:rPr>
  </w:style>
  <w:style w:type="character" w:customStyle="1" w:styleId="PrrafodelistaCar">
    <w:name w:val="Párrafo de lista Car"/>
    <w:aliases w:val="HOJA Car,Bolita Car,Párrafo de lista4 Car,BOLADEF Car,Párrafo de lista3 Car,Párrafo de lista21 Car,BOLA Car,Nivel 1 OS Car,Colorful List Accent 1 Car,Colorful List - Accent 11 Car,TITULO 2_CR Car,List1 Car,LISTA Car,Ha Car,lp1 Car"/>
    <w:link w:val="Prrafodelista"/>
    <w:uiPriority w:val="34"/>
    <w:qFormat/>
    <w:locked/>
    <w:rsid w:val="0052580B"/>
    <w:rPr>
      <w:rFonts w:ascii="Times New Roman" w:eastAsia="Times New Roman" w:hAnsi="Times New Roman" w:cs="Times New Roman"/>
      <w:lang w:val="es-ES"/>
    </w:rPr>
  </w:style>
  <w:style w:type="paragraph" w:styleId="Textonotapie">
    <w:name w:val="footnote text"/>
    <w:aliases w:val="ft,Texto nota pie Car Car Car,FA Fu,Texto nota pie Car Car Car Car Car Car,Texto nota pie Car Car Car Car Car,texto de nota al pie,Texto nota pie Car Car Car Car Car Car Car Car,fn,Footnote Text Char Char Char Char Char Char,FOOTNOTES,ADB"/>
    <w:basedOn w:val="Normal"/>
    <w:link w:val="TextonotapieCar"/>
    <w:unhideWhenUsed/>
    <w:qFormat/>
    <w:rsid w:val="00E30413"/>
    <w:pPr>
      <w:widowControl/>
      <w:autoSpaceDE/>
      <w:autoSpaceDN/>
      <w:jc w:val="both"/>
    </w:pPr>
    <w:rPr>
      <w:rFonts w:asciiTheme="minorHAnsi" w:eastAsiaTheme="minorHAnsi" w:hAnsiTheme="minorHAnsi" w:cstheme="minorBidi"/>
      <w:sz w:val="20"/>
      <w:szCs w:val="20"/>
      <w:lang w:val="es-CO"/>
    </w:rPr>
  </w:style>
  <w:style w:type="character" w:customStyle="1" w:styleId="TextonotapieCar">
    <w:name w:val="Texto nota pie Car"/>
    <w:aliases w:val="ft Car,Texto nota pie Car Car Car Car,FA Fu Car,Texto nota pie Car Car Car Car Car Car Car,Texto nota pie Car Car Car Car Car Car1,texto de nota al pie Car,Texto nota pie Car Car Car Car Car Car Car Car Car,fn Car,FOOTNOTES Car"/>
    <w:basedOn w:val="Fuentedeprrafopredeter"/>
    <w:link w:val="Textonotapie"/>
    <w:qFormat/>
    <w:rsid w:val="00E30413"/>
    <w:rPr>
      <w:sz w:val="20"/>
      <w:szCs w:val="20"/>
      <w:lang w:val="es-CO"/>
    </w:rPr>
  </w:style>
  <w:style w:type="character" w:styleId="Refdenotaalpie">
    <w:name w:val="footnote reference"/>
    <w:aliases w:val="referencia nota al pie,Texto de nota al pie,BVI fnr,Ref. de nota al pie2,Nota de pie,Ref,de nota al pie,Footnote symbol,Footnote,Pie de pagina,Char Char,Ref. de nota al pie.,FC,Appel note de bas de p,Ref. de nota al pie 2,normal"/>
    <w:basedOn w:val="Fuentedeprrafopredeter"/>
    <w:link w:val="Char2"/>
    <w:uiPriority w:val="99"/>
    <w:unhideWhenUsed/>
    <w:qFormat/>
    <w:rsid w:val="00E30413"/>
    <w:rPr>
      <w:vertAlign w:val="superscript"/>
    </w:rPr>
  </w:style>
  <w:style w:type="character" w:styleId="Hipervnculo">
    <w:name w:val="Hyperlink"/>
    <w:basedOn w:val="Fuentedeprrafopredeter"/>
    <w:uiPriority w:val="99"/>
    <w:unhideWhenUsed/>
    <w:rsid w:val="00052A03"/>
    <w:rPr>
      <w:color w:val="0000FF" w:themeColor="hyperlink"/>
      <w:u w:val="single"/>
    </w:rPr>
  </w:style>
  <w:style w:type="character" w:customStyle="1" w:styleId="Ttulo3Car">
    <w:name w:val="Título 3 Car"/>
    <w:basedOn w:val="Fuentedeprrafopredeter"/>
    <w:link w:val="Ttulo3"/>
    <w:uiPriority w:val="9"/>
    <w:semiHidden/>
    <w:rsid w:val="00E05154"/>
    <w:rPr>
      <w:rFonts w:asciiTheme="majorHAnsi" w:eastAsiaTheme="majorEastAsia" w:hAnsiTheme="majorHAnsi" w:cstheme="majorBidi"/>
      <w:color w:val="243F60" w:themeColor="accent1" w:themeShade="7F"/>
      <w:sz w:val="24"/>
      <w:szCs w:val="24"/>
      <w:lang w:val="es-ES"/>
    </w:rPr>
  </w:style>
  <w:style w:type="paragraph" w:styleId="Encabezado">
    <w:name w:val="header"/>
    <w:basedOn w:val="Normal"/>
    <w:link w:val="EncabezadoCar"/>
    <w:uiPriority w:val="99"/>
    <w:unhideWhenUsed/>
    <w:rsid w:val="00CC038D"/>
    <w:pPr>
      <w:tabs>
        <w:tab w:val="center" w:pos="4419"/>
        <w:tab w:val="right" w:pos="8838"/>
      </w:tabs>
    </w:pPr>
  </w:style>
  <w:style w:type="character" w:customStyle="1" w:styleId="EncabezadoCar">
    <w:name w:val="Encabezado Car"/>
    <w:basedOn w:val="Fuentedeprrafopredeter"/>
    <w:link w:val="Encabezado"/>
    <w:uiPriority w:val="99"/>
    <w:rsid w:val="00CC038D"/>
    <w:rPr>
      <w:rFonts w:ascii="Times New Roman" w:eastAsia="Times New Roman" w:hAnsi="Times New Roman" w:cs="Times New Roman"/>
      <w:lang w:val="es-ES"/>
    </w:rPr>
  </w:style>
  <w:style w:type="paragraph" w:styleId="Piedepgina">
    <w:name w:val="footer"/>
    <w:basedOn w:val="Normal"/>
    <w:link w:val="PiedepginaCar"/>
    <w:uiPriority w:val="99"/>
    <w:unhideWhenUsed/>
    <w:rsid w:val="00CC038D"/>
    <w:pPr>
      <w:tabs>
        <w:tab w:val="center" w:pos="4419"/>
        <w:tab w:val="right" w:pos="8838"/>
      </w:tabs>
    </w:pPr>
  </w:style>
  <w:style w:type="character" w:customStyle="1" w:styleId="PiedepginaCar">
    <w:name w:val="Pie de página Car"/>
    <w:basedOn w:val="Fuentedeprrafopredeter"/>
    <w:link w:val="Piedepgina"/>
    <w:uiPriority w:val="99"/>
    <w:rsid w:val="00CC038D"/>
    <w:rPr>
      <w:rFonts w:ascii="Times New Roman" w:eastAsia="Times New Roman" w:hAnsi="Times New Roman" w:cs="Times New Roman"/>
      <w:lang w:val="es-ES"/>
    </w:rPr>
  </w:style>
  <w:style w:type="paragraph" w:styleId="Descripcin">
    <w:name w:val="caption"/>
    <w:aliases w:val="Epígrafe,Figs y tabs,Tablas Car,Epígrafe1,Tabla"/>
    <w:basedOn w:val="Normal"/>
    <w:next w:val="Normal"/>
    <w:link w:val="DescripcinCar"/>
    <w:uiPriority w:val="35"/>
    <w:unhideWhenUsed/>
    <w:qFormat/>
    <w:rsid w:val="0048378A"/>
    <w:pPr>
      <w:spacing w:after="200"/>
    </w:pPr>
    <w:rPr>
      <w:i/>
      <w:iCs/>
      <w:color w:val="1F497D" w:themeColor="text2"/>
      <w:sz w:val="18"/>
      <w:szCs w:val="18"/>
    </w:rPr>
  </w:style>
  <w:style w:type="character" w:styleId="Mencinsinresolver">
    <w:name w:val="Unresolved Mention"/>
    <w:basedOn w:val="Fuentedeprrafopredeter"/>
    <w:uiPriority w:val="99"/>
    <w:semiHidden/>
    <w:unhideWhenUsed/>
    <w:rsid w:val="0051245F"/>
    <w:rPr>
      <w:color w:val="605E5C"/>
      <w:shd w:val="clear" w:color="auto" w:fill="E1DFDD"/>
    </w:rPr>
  </w:style>
  <w:style w:type="table" w:styleId="Tablaconcuadrcula">
    <w:name w:val="Table Grid"/>
    <w:basedOn w:val="Tablanormal"/>
    <w:uiPriority w:val="59"/>
    <w:rsid w:val="00186549"/>
    <w:pPr>
      <w:widowControl/>
      <w:autoSpaceDE/>
      <w:autoSpaceDN/>
    </w:pPr>
    <w:rPr>
      <w:rFonts w:ascii="Calibri" w:eastAsia="Times New Roman" w:hAnsi="Calibri" w:cs="Times New Roman"/>
      <w:lang w:val="es-CO" w:eastAsia="es-C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
    <w:name w:val="Tabla con cuadrícula1"/>
    <w:basedOn w:val="Tablanormal"/>
    <w:uiPriority w:val="39"/>
    <w:rsid w:val="00186549"/>
    <w:pPr>
      <w:widowControl/>
      <w:autoSpaceDE/>
      <w:autoSpaceDN/>
    </w:pPr>
    <w:rPr>
      <w:lang w:val="es-C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unhideWhenUsed/>
    <w:rsid w:val="002E12B8"/>
    <w:rPr>
      <w:sz w:val="16"/>
      <w:szCs w:val="16"/>
    </w:rPr>
  </w:style>
  <w:style w:type="paragraph" w:styleId="Asuntodelcomentario">
    <w:name w:val="annotation subject"/>
    <w:basedOn w:val="Textocomentario"/>
    <w:next w:val="Textocomentario"/>
    <w:link w:val="AsuntodelcomentarioCar"/>
    <w:uiPriority w:val="99"/>
    <w:semiHidden/>
    <w:unhideWhenUsed/>
    <w:rsid w:val="002E12B8"/>
    <w:pPr>
      <w:widowControl w:val="0"/>
      <w:autoSpaceDE w:val="0"/>
      <w:autoSpaceDN w:val="0"/>
    </w:pPr>
    <w:rPr>
      <w:rFonts w:cs="Times New Roman"/>
      <w:b/>
      <w:bCs/>
      <w:szCs w:val="20"/>
      <w:lang w:val="es-ES" w:eastAsia="en-US"/>
    </w:rPr>
  </w:style>
  <w:style w:type="character" w:customStyle="1" w:styleId="AsuntodelcomentarioCar">
    <w:name w:val="Asunto del comentario Car"/>
    <w:basedOn w:val="TextocomentarioCar1"/>
    <w:link w:val="Asuntodelcomentario"/>
    <w:uiPriority w:val="99"/>
    <w:semiHidden/>
    <w:rsid w:val="002E12B8"/>
    <w:rPr>
      <w:rFonts w:ascii="Times New Roman" w:eastAsia="Times New Roman" w:hAnsi="Times New Roman" w:cs="Times New Roman"/>
      <w:b/>
      <w:bCs/>
      <w:sz w:val="20"/>
      <w:szCs w:val="20"/>
      <w:lang w:val="es-ES" w:eastAsia="es-CO"/>
    </w:rPr>
  </w:style>
  <w:style w:type="paragraph" w:styleId="Textodeglobo">
    <w:name w:val="Balloon Text"/>
    <w:basedOn w:val="Normal"/>
    <w:link w:val="TextodegloboCar"/>
    <w:uiPriority w:val="99"/>
    <w:semiHidden/>
    <w:unhideWhenUsed/>
    <w:rsid w:val="00715816"/>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715816"/>
    <w:rPr>
      <w:rFonts w:ascii="Segoe UI" w:eastAsia="Times New Roman" w:hAnsi="Segoe UI" w:cs="Segoe UI"/>
      <w:sz w:val="18"/>
      <w:szCs w:val="18"/>
      <w:lang w:val="es-ES"/>
    </w:rPr>
  </w:style>
  <w:style w:type="character" w:customStyle="1" w:styleId="DescripcinCar">
    <w:name w:val="Descripción Car"/>
    <w:aliases w:val="Epígrafe Car,Figs y tabs Car,Tablas Car Car,Epígrafe1 Car,Tabla Car"/>
    <w:link w:val="Descripcin"/>
    <w:locked/>
    <w:rsid w:val="00F53174"/>
    <w:rPr>
      <w:rFonts w:ascii="Times New Roman" w:eastAsia="Times New Roman" w:hAnsi="Times New Roman" w:cs="Times New Roman"/>
      <w:i/>
      <w:iCs/>
      <w:color w:val="1F497D" w:themeColor="text2"/>
      <w:sz w:val="18"/>
      <w:szCs w:val="18"/>
      <w:lang w:val="es-ES"/>
    </w:rPr>
  </w:style>
  <w:style w:type="paragraph" w:styleId="NormalWeb">
    <w:name w:val="Normal (Web)"/>
    <w:aliases w:val="Normal (Web) Car Car,Normal (Web) Car Car Car,Normal (Web) Car,Normal (Web) Car Car Car Car Car Car,Normal (Web) Car Car Car Car Car Car Car Car Car,Normal (Web) Char,Normal (Web)2,Normal (Web)1,Car Car Car Car Car Car Car Car Car Car,Car2"/>
    <w:basedOn w:val="Normal"/>
    <w:link w:val="NormalWebCar1"/>
    <w:uiPriority w:val="99"/>
    <w:unhideWhenUsed/>
    <w:qFormat/>
    <w:rsid w:val="00881A1D"/>
    <w:rPr>
      <w:sz w:val="24"/>
      <w:szCs w:val="24"/>
    </w:rPr>
  </w:style>
  <w:style w:type="table" w:customStyle="1" w:styleId="TableNormal1">
    <w:name w:val="Table Normal1"/>
    <w:uiPriority w:val="2"/>
    <w:semiHidden/>
    <w:unhideWhenUsed/>
    <w:qFormat/>
    <w:rsid w:val="00C71A89"/>
    <w:rPr>
      <w:rFonts w:ascii="Calibri" w:eastAsia="Calibri" w:hAnsi="Calibri" w:cs="Times New Roman"/>
    </w:rPr>
    <w:tblPr>
      <w:tblInd w:w="0" w:type="dxa"/>
      <w:tblCellMar>
        <w:top w:w="0" w:type="dxa"/>
        <w:left w:w="0" w:type="dxa"/>
        <w:bottom w:w="0" w:type="dxa"/>
        <w:right w:w="0" w:type="dxa"/>
      </w:tblCellMar>
    </w:tblPr>
  </w:style>
  <w:style w:type="paragraph" w:customStyle="1" w:styleId="Titulo">
    <w:name w:val="Titulo"/>
    <w:basedOn w:val="Normal"/>
    <w:qFormat/>
    <w:rsid w:val="00C71A89"/>
    <w:pPr>
      <w:widowControl/>
      <w:numPr>
        <w:numId w:val="3"/>
      </w:numPr>
      <w:autoSpaceDE/>
      <w:autoSpaceDN/>
      <w:spacing w:after="160" w:line="259" w:lineRule="auto"/>
      <w:ind w:left="567" w:hanging="503"/>
      <w:contextualSpacing/>
      <w:jc w:val="both"/>
    </w:pPr>
    <w:rPr>
      <w:rFonts w:ascii="Garamond" w:hAnsi="Garamond" w:cs="Garamond"/>
      <w:i/>
      <w:color w:val="000000"/>
      <w:lang w:val="es-CO" w:eastAsia="es-CO"/>
    </w:rPr>
  </w:style>
  <w:style w:type="paragraph" w:customStyle="1" w:styleId="Heading">
    <w:name w:val="Heading"/>
    <w:basedOn w:val="Normal"/>
    <w:rsid w:val="00C71A89"/>
    <w:pPr>
      <w:tabs>
        <w:tab w:val="center" w:pos="4419"/>
        <w:tab w:val="right" w:pos="8838"/>
      </w:tabs>
      <w:suppressAutoHyphens/>
      <w:autoSpaceDE/>
      <w:textAlignment w:val="baseline"/>
    </w:pPr>
    <w:rPr>
      <w:rFonts w:cs="Mangal"/>
      <w:kern w:val="3"/>
      <w:sz w:val="24"/>
      <w:szCs w:val="21"/>
      <w:lang w:val="es-CO" w:eastAsia="zh-CN" w:bidi="hi-IN"/>
    </w:rPr>
  </w:style>
  <w:style w:type="paragraph" w:styleId="Sinespaciado">
    <w:name w:val="No Spacing"/>
    <w:link w:val="SinespaciadoCar"/>
    <w:uiPriority w:val="1"/>
    <w:qFormat/>
    <w:rsid w:val="00C71A89"/>
    <w:pPr>
      <w:widowControl/>
      <w:autoSpaceDE/>
      <w:autoSpaceDN/>
    </w:pPr>
    <w:rPr>
      <w:lang w:val="es-CO"/>
    </w:rPr>
  </w:style>
  <w:style w:type="character" w:customStyle="1" w:styleId="SinespaciadoCar">
    <w:name w:val="Sin espaciado Car"/>
    <w:link w:val="Sinespaciado"/>
    <w:uiPriority w:val="1"/>
    <w:rsid w:val="00C71A89"/>
    <w:rPr>
      <w:lang w:val="es-CO"/>
    </w:rPr>
  </w:style>
  <w:style w:type="table" w:customStyle="1" w:styleId="Tablaconcuadrcula21">
    <w:name w:val="Tabla con cuadrícula21"/>
    <w:basedOn w:val="Tablanormal"/>
    <w:next w:val="Tablaconcuadrcula"/>
    <w:uiPriority w:val="39"/>
    <w:rsid w:val="00C71A89"/>
    <w:pPr>
      <w:widowControl/>
      <w:autoSpaceDE/>
      <w:autoSpaceDN/>
    </w:pPr>
    <w:rPr>
      <w:rFonts w:ascii="Times New Roman" w:eastAsia="Times New Roman" w:hAnsi="Times New Roman" w:cs="Times New Roman"/>
      <w:sz w:val="20"/>
      <w:szCs w:val="20"/>
      <w:lang w:val="es-CO" w:eastAsia="es-CO"/>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oindependienteCar">
    <w:name w:val="Texto independiente Car"/>
    <w:basedOn w:val="Fuentedeprrafopredeter"/>
    <w:link w:val="Textoindependiente"/>
    <w:rsid w:val="00C71A89"/>
    <w:rPr>
      <w:rFonts w:ascii="Times New Roman" w:eastAsia="Times New Roman" w:hAnsi="Times New Roman" w:cs="Times New Roman"/>
      <w:lang w:val="es-ES"/>
    </w:rPr>
  </w:style>
  <w:style w:type="character" w:customStyle="1" w:styleId="Ttulo2Car">
    <w:name w:val="Título 2 Car"/>
    <w:basedOn w:val="Fuentedeprrafopredeter"/>
    <w:link w:val="Ttulo2"/>
    <w:uiPriority w:val="9"/>
    <w:rsid w:val="00DF49D3"/>
    <w:rPr>
      <w:rFonts w:ascii="Times New Roman" w:eastAsia="Times New Roman" w:hAnsi="Times New Roman" w:cs="Times New Roman"/>
      <w:b/>
      <w:bCs/>
      <w:lang w:val="es-ES"/>
    </w:rPr>
  </w:style>
  <w:style w:type="table" w:customStyle="1" w:styleId="Tablaconcuadrcula3">
    <w:name w:val="Tabla con cuadrícula3"/>
    <w:basedOn w:val="Tablanormal"/>
    <w:next w:val="Tablaconcuadrcula"/>
    <w:uiPriority w:val="59"/>
    <w:rsid w:val="00B25BD0"/>
    <w:pPr>
      <w:widowControl/>
      <w:autoSpaceDE/>
      <w:autoSpaceDN/>
    </w:pPr>
    <w:rPr>
      <w:rFonts w:ascii="Times New Roman" w:eastAsia="Times New Roman" w:hAnsi="Times New Roman" w:cs="Lohit Hindi"/>
      <w:sz w:val="20"/>
      <w:szCs w:val="20"/>
      <w:lang w:val="es-MX"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stiloTtulo11pt">
    <w:name w:val="Estilo Título + 11 pt"/>
    <w:basedOn w:val="Ttulo"/>
    <w:link w:val="EstiloTtulo11ptCar"/>
    <w:autoRedefine/>
    <w:rsid w:val="0012630F"/>
    <w:pPr>
      <w:widowControl/>
      <w:autoSpaceDE/>
      <w:autoSpaceDN/>
      <w:spacing w:before="240" w:after="60"/>
      <w:contextualSpacing w:val="0"/>
      <w:jc w:val="both"/>
      <w:outlineLvl w:val="0"/>
    </w:pPr>
    <w:rPr>
      <w:rFonts w:ascii="Futura Bk BT" w:eastAsia="Calibri" w:hAnsi="Futura Bk BT" w:cs="Times New Roman"/>
      <w:b/>
      <w:color w:val="000000"/>
      <w:spacing w:val="0"/>
      <w:kern w:val="0"/>
      <w:sz w:val="23"/>
      <w:szCs w:val="23"/>
      <w:lang w:val="x-none" w:eastAsia="x-none"/>
    </w:rPr>
  </w:style>
  <w:style w:type="character" w:customStyle="1" w:styleId="EstiloTtulo11ptCar">
    <w:name w:val="Estilo Título + 11 pt Car"/>
    <w:link w:val="EstiloTtulo11pt"/>
    <w:rsid w:val="0012630F"/>
    <w:rPr>
      <w:rFonts w:ascii="Futura Bk BT" w:eastAsia="Calibri" w:hAnsi="Futura Bk BT" w:cs="Times New Roman"/>
      <w:b/>
      <w:color w:val="000000"/>
      <w:sz w:val="23"/>
      <w:szCs w:val="23"/>
      <w:lang w:val="x-none" w:eastAsia="x-none"/>
    </w:rPr>
  </w:style>
  <w:style w:type="table" w:styleId="Tablanormal1">
    <w:name w:val="Plain Table 1"/>
    <w:basedOn w:val="Tablanormal"/>
    <w:uiPriority w:val="41"/>
    <w:rsid w:val="0012630F"/>
    <w:pPr>
      <w:widowControl/>
      <w:autoSpaceDE/>
      <w:autoSpaceDN/>
    </w:pPr>
    <w:rPr>
      <w:rFonts w:ascii="Times New Roman" w:eastAsia="Times New Roman" w:hAnsi="Times New Roman" w:cs="Times New Roman"/>
      <w:sz w:val="20"/>
      <w:szCs w:val="20"/>
      <w:lang w:val="es-CO" w:eastAsia="es-CO"/>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Ttulo">
    <w:name w:val="Title"/>
    <w:basedOn w:val="Normal"/>
    <w:next w:val="Normal"/>
    <w:link w:val="TtuloCar"/>
    <w:uiPriority w:val="10"/>
    <w:qFormat/>
    <w:rsid w:val="0012630F"/>
    <w:pPr>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12630F"/>
    <w:rPr>
      <w:rFonts w:asciiTheme="majorHAnsi" w:eastAsiaTheme="majorEastAsia" w:hAnsiTheme="majorHAnsi" w:cstheme="majorBidi"/>
      <w:spacing w:val="-10"/>
      <w:kern w:val="28"/>
      <w:sz w:val="56"/>
      <w:szCs w:val="56"/>
      <w:lang w:val="es-ES"/>
    </w:rPr>
  </w:style>
  <w:style w:type="character" w:customStyle="1" w:styleId="vortaltagspan">
    <w:name w:val="vortaltagspan"/>
    <w:basedOn w:val="Fuentedeprrafopredeter"/>
    <w:rsid w:val="007D408F"/>
  </w:style>
  <w:style w:type="character" w:customStyle="1" w:styleId="vortaltextbox">
    <w:name w:val="vortaltextbox"/>
    <w:basedOn w:val="Fuentedeprrafopredeter"/>
    <w:rsid w:val="00B96BA1"/>
  </w:style>
  <w:style w:type="paragraph" w:styleId="Revisin">
    <w:name w:val="Revision"/>
    <w:hidden/>
    <w:uiPriority w:val="99"/>
    <w:semiHidden/>
    <w:rsid w:val="001C656D"/>
    <w:pPr>
      <w:widowControl/>
      <w:autoSpaceDE/>
      <w:autoSpaceDN/>
    </w:pPr>
    <w:rPr>
      <w:rFonts w:ascii="Times New Roman" w:eastAsia="Times New Roman" w:hAnsi="Times New Roman" w:cs="Times New Roman"/>
      <w:lang w:val="es-ES"/>
    </w:rPr>
  </w:style>
  <w:style w:type="paragraph" w:customStyle="1" w:styleId="Char2">
    <w:name w:val="Char2"/>
    <w:basedOn w:val="Normal"/>
    <w:link w:val="Refdenotaalpie"/>
    <w:uiPriority w:val="99"/>
    <w:qFormat/>
    <w:rsid w:val="00C0220B"/>
    <w:pPr>
      <w:widowControl/>
      <w:spacing w:after="160" w:line="240" w:lineRule="exact"/>
    </w:pPr>
    <w:rPr>
      <w:rFonts w:asciiTheme="minorHAnsi" w:eastAsiaTheme="minorHAnsi" w:hAnsiTheme="minorHAnsi" w:cstheme="minorBidi"/>
      <w:vertAlign w:val="superscript"/>
      <w:lang w:val="en-US"/>
    </w:rPr>
  </w:style>
  <w:style w:type="paragraph" w:customStyle="1" w:styleId="Estilo3">
    <w:name w:val="Estilo3"/>
    <w:basedOn w:val="Ttulo3"/>
    <w:uiPriority w:val="99"/>
    <w:qFormat/>
    <w:rsid w:val="00C0220B"/>
    <w:pPr>
      <w:keepLines w:val="0"/>
      <w:numPr>
        <w:ilvl w:val="2"/>
        <w:numId w:val="14"/>
      </w:numPr>
      <w:tabs>
        <w:tab w:val="num" w:pos="720"/>
      </w:tabs>
      <w:suppressAutoHyphens/>
      <w:autoSpaceDE/>
      <w:spacing w:before="240"/>
      <w:ind w:left="720"/>
      <w:jc w:val="both"/>
      <w:textAlignment w:val="baseline"/>
    </w:pPr>
    <w:rPr>
      <w:rFonts w:ascii="Arial Narrow" w:eastAsia="Times New Roman" w:hAnsi="Arial Narrow" w:cs="Times New Roman"/>
      <w:bCs/>
      <w:color w:val="auto"/>
      <w:sz w:val="22"/>
      <w:lang w:val="es-MX" w:eastAsia="zh-CN" w:bidi="hi-IN"/>
    </w:rPr>
  </w:style>
  <w:style w:type="character" w:customStyle="1" w:styleId="NormalWebCar1">
    <w:name w:val="Normal (Web) Car1"/>
    <w:aliases w:val="Normal (Web) Car Car Car1,Normal (Web) Car Car Car Car,Normal (Web) Car Car1,Normal (Web) Car Car Car Car Car Car Car,Normal (Web) Car Car Car Car Car Car Car Car Car Car,Normal (Web) Char Car,Normal (Web)2 Car,Normal (Web)1 Car"/>
    <w:link w:val="NormalWeb"/>
    <w:uiPriority w:val="99"/>
    <w:locked/>
    <w:rsid w:val="00D64467"/>
    <w:rPr>
      <w:rFonts w:ascii="Times New Roman" w:eastAsia="Times New Roman" w:hAnsi="Times New Roman" w:cs="Times New Roman"/>
      <w:sz w:val="24"/>
      <w:szCs w:val="24"/>
      <w:lang w:val="es-ES"/>
    </w:rPr>
  </w:style>
  <w:style w:type="table" w:customStyle="1" w:styleId="Tablanormal11">
    <w:name w:val="Tabla normal 11"/>
    <w:basedOn w:val="Tablanormal"/>
    <w:next w:val="Tablanormal1"/>
    <w:uiPriority w:val="41"/>
    <w:rsid w:val="006D367F"/>
    <w:pPr>
      <w:widowControl/>
      <w:autoSpaceDE/>
      <w:autoSpaceDN/>
    </w:pPr>
    <w:rPr>
      <w:lang w:val="es-CO"/>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Tablaconcuadrculaclara">
    <w:name w:val="Grid Table Light"/>
    <w:basedOn w:val="Tablanormal"/>
    <w:uiPriority w:val="40"/>
    <w:rsid w:val="006D367F"/>
    <w:pPr>
      <w:widowControl/>
      <w:autoSpaceDE/>
      <w:autoSpaceDN/>
    </w:pPr>
    <w:rPr>
      <w:rFonts w:ascii="Times New Roman" w:eastAsia="Times New Roman" w:hAnsi="Times New Roman" w:cs="Times New Roman"/>
      <w:sz w:val="20"/>
      <w:szCs w:val="20"/>
      <w:lang w:val="es-CO" w:eastAsia="es-CO"/>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1753593">
      <w:bodyDiv w:val="1"/>
      <w:marLeft w:val="0"/>
      <w:marRight w:val="0"/>
      <w:marTop w:val="0"/>
      <w:marBottom w:val="0"/>
      <w:divBdr>
        <w:top w:val="none" w:sz="0" w:space="0" w:color="auto"/>
        <w:left w:val="none" w:sz="0" w:space="0" w:color="auto"/>
        <w:bottom w:val="none" w:sz="0" w:space="0" w:color="auto"/>
        <w:right w:val="none" w:sz="0" w:space="0" w:color="auto"/>
      </w:divBdr>
    </w:div>
    <w:div w:id="441651742">
      <w:bodyDiv w:val="1"/>
      <w:marLeft w:val="0"/>
      <w:marRight w:val="0"/>
      <w:marTop w:val="0"/>
      <w:marBottom w:val="0"/>
      <w:divBdr>
        <w:top w:val="none" w:sz="0" w:space="0" w:color="auto"/>
        <w:left w:val="none" w:sz="0" w:space="0" w:color="auto"/>
        <w:bottom w:val="none" w:sz="0" w:space="0" w:color="auto"/>
        <w:right w:val="none" w:sz="0" w:space="0" w:color="auto"/>
      </w:divBdr>
    </w:div>
    <w:div w:id="611547659">
      <w:bodyDiv w:val="1"/>
      <w:marLeft w:val="0"/>
      <w:marRight w:val="0"/>
      <w:marTop w:val="0"/>
      <w:marBottom w:val="0"/>
      <w:divBdr>
        <w:top w:val="none" w:sz="0" w:space="0" w:color="auto"/>
        <w:left w:val="none" w:sz="0" w:space="0" w:color="auto"/>
        <w:bottom w:val="none" w:sz="0" w:space="0" w:color="auto"/>
        <w:right w:val="none" w:sz="0" w:space="0" w:color="auto"/>
      </w:divBdr>
    </w:div>
    <w:div w:id="955335541">
      <w:bodyDiv w:val="1"/>
      <w:marLeft w:val="0"/>
      <w:marRight w:val="0"/>
      <w:marTop w:val="0"/>
      <w:marBottom w:val="0"/>
      <w:divBdr>
        <w:top w:val="none" w:sz="0" w:space="0" w:color="auto"/>
        <w:left w:val="none" w:sz="0" w:space="0" w:color="auto"/>
        <w:bottom w:val="none" w:sz="0" w:space="0" w:color="auto"/>
        <w:right w:val="none" w:sz="0" w:space="0" w:color="auto"/>
      </w:divBdr>
    </w:div>
    <w:div w:id="1385910186">
      <w:bodyDiv w:val="1"/>
      <w:marLeft w:val="0"/>
      <w:marRight w:val="0"/>
      <w:marTop w:val="0"/>
      <w:marBottom w:val="0"/>
      <w:divBdr>
        <w:top w:val="none" w:sz="0" w:space="0" w:color="auto"/>
        <w:left w:val="none" w:sz="0" w:space="0" w:color="auto"/>
        <w:bottom w:val="none" w:sz="0" w:space="0" w:color="auto"/>
        <w:right w:val="none" w:sz="0" w:space="0" w:color="auto"/>
      </w:divBdr>
    </w:div>
    <w:div w:id="1658069304">
      <w:bodyDiv w:val="1"/>
      <w:marLeft w:val="0"/>
      <w:marRight w:val="0"/>
      <w:marTop w:val="0"/>
      <w:marBottom w:val="0"/>
      <w:divBdr>
        <w:top w:val="none" w:sz="0" w:space="0" w:color="auto"/>
        <w:left w:val="none" w:sz="0" w:space="0" w:color="auto"/>
        <w:bottom w:val="none" w:sz="0" w:space="0" w:color="auto"/>
        <w:right w:val="none" w:sz="0" w:space="0" w:color="auto"/>
      </w:divBdr>
    </w:div>
    <w:div w:id="1792552895">
      <w:bodyDiv w:val="1"/>
      <w:marLeft w:val="0"/>
      <w:marRight w:val="0"/>
      <w:marTop w:val="0"/>
      <w:marBottom w:val="0"/>
      <w:divBdr>
        <w:top w:val="none" w:sz="0" w:space="0" w:color="auto"/>
        <w:left w:val="none" w:sz="0" w:space="0" w:color="auto"/>
        <w:bottom w:val="none" w:sz="0" w:space="0" w:color="auto"/>
        <w:right w:val="none" w:sz="0" w:space="0" w:color="auto"/>
      </w:divBdr>
    </w:div>
    <w:div w:id="1923835984">
      <w:bodyDiv w:val="1"/>
      <w:marLeft w:val="0"/>
      <w:marRight w:val="0"/>
      <w:marTop w:val="0"/>
      <w:marBottom w:val="0"/>
      <w:divBdr>
        <w:top w:val="none" w:sz="0" w:space="0" w:color="auto"/>
        <w:left w:val="none" w:sz="0" w:space="0" w:color="auto"/>
        <w:bottom w:val="none" w:sz="0" w:space="0" w:color="auto"/>
        <w:right w:val="none" w:sz="0" w:space="0" w:color="auto"/>
      </w:divBdr>
    </w:div>
    <w:div w:id="1935698930">
      <w:bodyDiv w:val="1"/>
      <w:marLeft w:val="0"/>
      <w:marRight w:val="0"/>
      <w:marTop w:val="0"/>
      <w:marBottom w:val="0"/>
      <w:divBdr>
        <w:top w:val="none" w:sz="0" w:space="0" w:color="auto"/>
        <w:left w:val="none" w:sz="0" w:space="0" w:color="auto"/>
        <w:bottom w:val="none" w:sz="0" w:space="0" w:color="auto"/>
        <w:right w:val="none" w:sz="0" w:space="0" w:color="auto"/>
      </w:divBdr>
    </w:div>
    <w:div w:id="214218527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0.emf"/><Relationship Id="rId68" Type="http://schemas.openxmlformats.org/officeDocument/2006/relationships/image" Target="media/image53.png"/><Relationship Id="rId16" Type="http://schemas.openxmlformats.org/officeDocument/2006/relationships/image" Target="media/image9.png"/><Relationship Id="rId11" Type="http://schemas.openxmlformats.org/officeDocument/2006/relationships/hyperlink" Target="https://dian-rut.com/codigo-ciiu/6513/" TargetMode="External"/><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hyperlink" Target="https://community.secop.gov.co/Public/Tendering/OpportunityDetail/Index?noticeUID=CO1.NTC.7900500&amp;isFromPublicArea=True&amp;isModal=Fals" TargetMode="External"/><Relationship Id="rId58" Type="http://schemas.openxmlformats.org/officeDocument/2006/relationships/image" Target="media/image46.png"/><Relationship Id="rId74" Type="http://schemas.openxmlformats.org/officeDocument/2006/relationships/image" Target="media/image58.png"/><Relationship Id="rId79" Type="http://schemas.openxmlformats.org/officeDocument/2006/relationships/header" Target="header2.xml"/><Relationship Id="rId5" Type="http://schemas.openxmlformats.org/officeDocument/2006/relationships/webSettings" Target="webSettings.xml"/><Relationship Id="rId61" Type="http://schemas.openxmlformats.org/officeDocument/2006/relationships/hyperlink" Target="http://www.secretariasenado.gov.co/senado/basedoc/ley/1997/ley_0389_1997.html" TargetMode="External"/><Relationship Id="rId82" Type="http://schemas.openxmlformats.org/officeDocument/2006/relationships/theme" Target="theme/theme1.xml"/><Relationship Id="rId19" Type="http://schemas.openxmlformats.org/officeDocument/2006/relationships/image" Target="media/image11.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hyperlink" Target="https://community.secop.gov.co/Public/Tendering/OpportunityDetail/Index?noticeUID=CO1.NTC.7174245&amp;isFromPublicArea=True&amp;isModal=Fals" TargetMode="External"/><Relationship Id="rId64" Type="http://schemas.openxmlformats.org/officeDocument/2006/relationships/image" Target="media/image51.emf"/><Relationship Id="rId69" Type="http://schemas.openxmlformats.org/officeDocument/2006/relationships/image" Target="media/image54.png"/><Relationship Id="rId77" Type="http://schemas.openxmlformats.org/officeDocument/2006/relationships/image" Target="media/image61.png"/><Relationship Id="rId8" Type="http://schemas.openxmlformats.org/officeDocument/2006/relationships/header" Target="header1.xml"/><Relationship Id="rId51" Type="http://schemas.openxmlformats.org/officeDocument/2006/relationships/image" Target="media/image43.png"/><Relationship Id="rId72" Type="http://schemas.openxmlformats.org/officeDocument/2006/relationships/image" Target="media/image56.png"/><Relationship Id="rId80" Type="http://schemas.openxmlformats.org/officeDocument/2006/relationships/footer" Target="footer2.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jpe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47.png"/><Relationship Id="rId67" Type="http://schemas.openxmlformats.org/officeDocument/2006/relationships/hyperlink" Target="http://www.secretariasenado.gov.co/senado/basedoc/codigo/estatuto_organico_sistema_financiero_pr001.html" TargetMode="External"/><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hyperlink" Target="https://community.secop.gov.co/Public/Tendering/OpportunityDetail/Index?noticeUID=CO1.NTC.8603249&amp;isFromPublicArea=True&amp;isModal=Fals" TargetMode="External"/><Relationship Id="rId62" Type="http://schemas.openxmlformats.org/officeDocument/2006/relationships/image" Target="media/image49.png"/><Relationship Id="rId70" Type="http://schemas.openxmlformats.org/officeDocument/2006/relationships/hyperlink" Target="https://www.bancoldex.com/es/sobre-bancoldex/quienes-somos/clasificacion-de-empresas-en-colombia" TargetMode="External"/><Relationship Id="rId75" Type="http://schemas.openxmlformats.org/officeDocument/2006/relationships/image" Target="media/image5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5.png"/><Relationship Id="rId10" Type="http://schemas.openxmlformats.org/officeDocument/2006/relationships/image" Target="media/image4.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48.png"/><Relationship Id="rId65" Type="http://schemas.openxmlformats.org/officeDocument/2006/relationships/image" Target="media/image52.emf"/><Relationship Id="rId73" Type="http://schemas.openxmlformats.org/officeDocument/2006/relationships/image" Target="media/image57.png"/><Relationship Id="rId78" Type="http://schemas.openxmlformats.org/officeDocument/2006/relationships/image" Target="media/image62.emf"/><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6.png"/><Relationship Id="rId18" Type="http://schemas.openxmlformats.org/officeDocument/2006/relationships/hyperlink" Target="https://suameca.banrep.gov.co/graficador-series/" TargetMode="External"/><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hyperlink" Target="https://community.secop.gov.co/Public/Tendering/OpportunityDetail/Index?noticeUID=CO1.NTC.7158078&amp;isFromPublicArea=True&amp;isModal=Fals" TargetMode="External"/><Relationship Id="rId76" Type="http://schemas.openxmlformats.org/officeDocument/2006/relationships/image" Target="media/image60.emf"/><Relationship Id="rId7" Type="http://schemas.openxmlformats.org/officeDocument/2006/relationships/endnotes" Target="endnotes.xml"/><Relationship Id="rId71" Type="http://schemas.openxmlformats.org/officeDocument/2006/relationships/image" Target="media/image55.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hyperlink" Target="https://mail.google.com/mail/u/1/" TargetMode="External"/></Relationships>
</file>

<file path=word/_rels/footer1.xml.rels><?xml version="1.0" encoding="UTF-8" standalone="yes"?>
<Relationships xmlns="http://schemas.openxmlformats.org/package/2006/relationships"><Relationship Id="rId3" Type="http://schemas.openxmlformats.org/officeDocument/2006/relationships/hyperlink" Target="http://www.sumapaz.gov.co/" TargetMode="External"/><Relationship Id="rId2" Type="http://schemas.openxmlformats.org/officeDocument/2006/relationships/image" Target="media/image3.png"/><Relationship Id="rId1" Type="http://schemas.openxmlformats.org/officeDocument/2006/relationships/image" Target="media/image2.png"/><Relationship Id="rId4" Type="http://schemas.openxmlformats.org/officeDocument/2006/relationships/hyperlink" Target="http://www.sumapaz.gov.co/" TargetMode="External"/></Relationships>
</file>

<file path=word/_rels/footer2.xml.rels><?xml version="1.0" encoding="UTF-8" standalone="yes"?>
<Relationships xmlns="http://schemas.openxmlformats.org/package/2006/relationships"><Relationship Id="rId3" Type="http://schemas.openxmlformats.org/officeDocument/2006/relationships/hyperlink" Target="http://www.sumapaz.gov.co/" TargetMode="External"/><Relationship Id="rId2" Type="http://schemas.openxmlformats.org/officeDocument/2006/relationships/image" Target="media/image3.png"/><Relationship Id="rId1" Type="http://schemas.openxmlformats.org/officeDocument/2006/relationships/image" Target="media/image2.png"/><Relationship Id="rId4" Type="http://schemas.openxmlformats.org/officeDocument/2006/relationships/hyperlink" Target="http://www.sumapaz.gov.co/"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s://www.colombiacompra.gov.co/analisis-de-datos-de-compra-publica/visualizaciones-compra-publica/herramienta-de-visualizacion-para-el-analisis-de-la-demanda-y-de-la-oferta" TargetMode="External"/><Relationship Id="rId3" Type="http://schemas.openxmlformats.org/officeDocument/2006/relationships/hyperlink" Target="https://www.dane.gov.co/index.php/estadisticas-por-tema/cuentas-nacionales/cuentas-nacionales-trimestrales/pib-informacion-tecnica" TargetMode="External"/><Relationship Id="rId7" Type="http://schemas.openxmlformats.org/officeDocument/2006/relationships/hyperlink" Target="https://www.colombiacompra.gov.co/analisis-de-datos-de-compra-publica/visualizaciones-compra-publica/herramienta-de-visualizacion-para-el-analisis-de-la-demanda-y-de-la-oferta" TargetMode="External"/><Relationship Id="rId12" Type="http://schemas.openxmlformats.org/officeDocument/2006/relationships/hyperlink" Target="https://dapre.presidencia.gov.co/normativa/normativa/DECRETO%20957%20DEL%2005%20DE%20JUNIO%20DE%202019.pdf" TargetMode="External"/><Relationship Id="rId2" Type="http://schemas.openxmlformats.org/officeDocument/2006/relationships/hyperlink" Target="https://linea.ccb.org.co/descripcionciiu/" TargetMode="External"/><Relationship Id="rId1" Type="http://schemas.openxmlformats.org/officeDocument/2006/relationships/hyperlink" Target="https://enciclopedia.banrepcultural.org/index.php/Sectores_economicos" TargetMode="External"/><Relationship Id="rId6" Type="http://schemas.openxmlformats.org/officeDocument/2006/relationships/hyperlink" Target="https://bogota.gov.co/mi-ciudad/localidades/sumapaz" TargetMode="External"/><Relationship Id="rId11" Type="http://schemas.openxmlformats.org/officeDocument/2006/relationships/hyperlink" Target="https://www.funcionpublica.gov.co/eva/gestornormativo/norma.php?i=175187" TargetMode="External"/><Relationship Id="rId5" Type="http://schemas.openxmlformats.org/officeDocument/2006/relationships/hyperlink" Target="https://www.dane.gov.co" TargetMode="External"/><Relationship Id="rId10" Type="http://schemas.openxmlformats.org/officeDocument/2006/relationships/hyperlink" Target="https://www.colombiacompra.gov.co/analisis-de-datos-de-compra-publica/visualizaciones-compra-publica/herramienta-de-visualizacion-para-el-analisis-de-la-demanda-y-de-la-oferta" TargetMode="External"/><Relationship Id="rId4" Type="http://schemas.openxmlformats.org/officeDocument/2006/relationships/hyperlink" Target="https://www.dane.gov.co/files/investigaciones/boletines/ech/ech/bol_empleo_dic_22.pdf" TargetMode="External"/><Relationship Id="rId9" Type="http://schemas.openxmlformats.org/officeDocument/2006/relationships/hyperlink" Target="https://www.colombiacompra.gov.co/analisis-de-datos-de-compra-publica/visualizaciones-compra-publica/herramienta-de-visualizacion-para-el-analisis-de-la-demanda-y-de-la-oferta"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EE9CED-6ED6-410E-B034-362CCE1C8A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125</TotalTime>
  <Pages>58</Pages>
  <Words>23491</Words>
  <Characters>129202</Characters>
  <Application>Microsoft Office Word</Application>
  <DocSecurity>0</DocSecurity>
  <Lines>1076</Lines>
  <Paragraphs>304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152389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Jesus David Aldana Garcia</dc:creator>
  <cp:lastModifiedBy>Zayra Daniela Casas Lozano</cp:lastModifiedBy>
  <cp:revision>50</cp:revision>
  <dcterms:created xsi:type="dcterms:W3CDTF">2026-04-17T20:43:00Z</dcterms:created>
  <dcterms:modified xsi:type="dcterms:W3CDTF">2026-04-22T17:10:00Z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2024-11-01T00:00:00Z</vt:filetime>
  </property>
  <property fmtid="{D5CDD505-2E9C-101B-9397-08002B2CF9AE}" pid="3" name="Creator">
    <vt:lpwstr>Microsoft® Word para Microsoft 365</vt:lpwstr>
  </property>
  <property fmtid="{D5CDD505-2E9C-101B-9397-08002B2CF9AE}" pid="4" name="LastSaved">
    <vt:filetime>2025-09-18T00:00:00Z</vt:filetime>
  </property>
  <property fmtid="{D5CDD505-2E9C-101B-9397-08002B2CF9AE}" pid="5" name="Producer">
    <vt:lpwstr>Microsoft® Word para Microsoft 365</vt:lpwstr>
  </property>
</Properties>
</file>